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6D" w:rsidRDefault="00AA106D" w:rsidP="00BA08BB">
      <w:pPr>
        <w:spacing w:after="0" w:line="240" w:lineRule="auto"/>
        <w:jc w:val="center"/>
        <w:rPr>
          <w:rFonts w:cstheme="minorHAnsi"/>
          <w:b/>
          <w:bCs/>
          <w:sz w:val="28"/>
          <w:szCs w:val="28"/>
        </w:rPr>
      </w:pPr>
    </w:p>
    <w:p w:rsidR="00AA106D" w:rsidRDefault="00AA106D" w:rsidP="00BA08BB">
      <w:pPr>
        <w:spacing w:after="0" w:line="240" w:lineRule="auto"/>
        <w:jc w:val="center"/>
        <w:rPr>
          <w:rFonts w:cstheme="minorHAnsi"/>
          <w:b/>
          <w:bCs/>
          <w:sz w:val="28"/>
          <w:szCs w:val="28"/>
        </w:rPr>
      </w:pPr>
    </w:p>
    <w:p w:rsidR="00AA106D" w:rsidRDefault="00AA106D" w:rsidP="00BA08BB">
      <w:pPr>
        <w:spacing w:after="0" w:line="240" w:lineRule="auto"/>
        <w:jc w:val="center"/>
        <w:rPr>
          <w:rFonts w:cstheme="minorHAnsi"/>
          <w:b/>
          <w:bCs/>
          <w:sz w:val="28"/>
          <w:szCs w:val="28"/>
        </w:rPr>
      </w:pPr>
    </w:p>
    <w:p w:rsidR="00AA106D" w:rsidRDefault="00AA106D" w:rsidP="00BA08BB">
      <w:pPr>
        <w:spacing w:after="0" w:line="240" w:lineRule="auto"/>
        <w:jc w:val="center"/>
        <w:rPr>
          <w:rFonts w:cstheme="minorHAnsi"/>
          <w:b/>
          <w:bCs/>
          <w:sz w:val="28"/>
          <w:szCs w:val="28"/>
        </w:rPr>
      </w:pPr>
    </w:p>
    <w:p w:rsidR="0097266F" w:rsidRDefault="0097266F" w:rsidP="0097266F">
      <w:pPr>
        <w:rPr>
          <w:b/>
          <w:bCs/>
          <w:color w:val="1F497D"/>
          <w:sz w:val="28"/>
          <w:szCs w:val="28"/>
        </w:rPr>
      </w:pPr>
      <w:r>
        <w:rPr>
          <w:b/>
          <w:bCs/>
          <w:color w:val="1F497D"/>
          <w:sz w:val="28"/>
          <w:szCs w:val="28"/>
        </w:rPr>
        <w:t>COMUNICIACION TGSS PARA LA TRAMITACION DE APLAZAMIENTOS COVID-19-I _ 07.04.20</w:t>
      </w:r>
    </w:p>
    <w:p w:rsidR="0097266F" w:rsidRDefault="0097266F" w:rsidP="0097266F"/>
    <w:p w:rsidR="0097266F" w:rsidRPr="0097266F" w:rsidRDefault="0097266F" w:rsidP="0097266F">
      <w:pPr>
        <w:spacing w:line="360" w:lineRule="auto"/>
        <w:jc w:val="both"/>
        <w:rPr>
          <w:rFonts w:ascii="Arial" w:hAnsi="Arial" w:cs="Arial"/>
          <w:sz w:val="24"/>
          <w:szCs w:val="24"/>
          <w:lang w:eastAsia="es-ES"/>
        </w:rPr>
      </w:pPr>
      <w:bookmarkStart w:id="0" w:name="_GoBack"/>
      <w:r w:rsidRPr="0097266F">
        <w:rPr>
          <w:rFonts w:ascii="Arial" w:hAnsi="Arial" w:cs="Arial"/>
          <w:sz w:val="24"/>
          <w:szCs w:val="24"/>
          <w:lang w:eastAsia="es-ES"/>
        </w:rPr>
        <w:t>Como hay confusión por parte de algunas autorizaciones RED y las comunicaciones que hemos hecho desde esta Dirección Provincial respecto a la solicitud de aplazamientos Covid19 no eran completas, intentamos aclarar como solicitarlo.</w:t>
      </w:r>
    </w:p>
    <w:p w:rsidR="0097266F" w:rsidRPr="0097266F" w:rsidRDefault="0097266F" w:rsidP="0097266F">
      <w:pPr>
        <w:spacing w:line="360" w:lineRule="auto"/>
        <w:jc w:val="both"/>
        <w:rPr>
          <w:rFonts w:ascii="Arial" w:hAnsi="Arial" w:cs="Arial"/>
          <w:sz w:val="24"/>
          <w:szCs w:val="24"/>
          <w:lang w:eastAsia="es-ES"/>
        </w:rPr>
      </w:pPr>
    </w:p>
    <w:p w:rsidR="0097266F" w:rsidRPr="0097266F" w:rsidRDefault="0097266F" w:rsidP="0097266F">
      <w:pPr>
        <w:spacing w:line="360" w:lineRule="auto"/>
        <w:ind w:left="1077" w:right="624"/>
        <w:jc w:val="both"/>
        <w:rPr>
          <w:rFonts w:ascii="Arial" w:hAnsi="Arial" w:cs="Arial"/>
          <w:i/>
          <w:iCs/>
          <w:color w:val="002060"/>
          <w:sz w:val="24"/>
          <w:szCs w:val="24"/>
          <w:u w:val="single"/>
          <w:lang w:eastAsia="es-ES"/>
        </w:rPr>
      </w:pPr>
      <w:r w:rsidRPr="0097266F">
        <w:rPr>
          <w:rFonts w:ascii="Arial" w:hAnsi="Arial" w:cs="Arial"/>
          <w:i/>
          <w:iCs/>
          <w:color w:val="002060"/>
          <w:sz w:val="24"/>
          <w:szCs w:val="24"/>
          <w:lang w:eastAsia="es-ES"/>
        </w:rPr>
        <w:t xml:space="preserve">Antes de nada decimos que en este momento están pendientes de proceso los ficheros de bases para el cálculo de liquidaciones, </w:t>
      </w:r>
      <w:r w:rsidRPr="0097266F">
        <w:rPr>
          <w:rFonts w:ascii="Arial" w:hAnsi="Arial" w:cs="Arial"/>
          <w:i/>
          <w:iCs/>
          <w:color w:val="002060"/>
          <w:sz w:val="24"/>
          <w:szCs w:val="24"/>
          <w:u w:val="single"/>
          <w:lang w:eastAsia="es-ES"/>
        </w:rPr>
        <w:t>pero esto no es impedimento para que pueda solicitarse el aplazamiento.</w:t>
      </w:r>
    </w:p>
    <w:p w:rsidR="0097266F" w:rsidRPr="0097266F" w:rsidRDefault="0097266F" w:rsidP="0097266F">
      <w:pPr>
        <w:spacing w:line="360" w:lineRule="auto"/>
        <w:jc w:val="both"/>
        <w:rPr>
          <w:rFonts w:ascii="Arial" w:hAnsi="Arial" w:cs="Arial"/>
          <w:sz w:val="24"/>
          <w:szCs w:val="24"/>
          <w:lang w:eastAsia="es-ES"/>
        </w:rPr>
      </w:pPr>
    </w:p>
    <w:p w:rsidR="0097266F" w:rsidRPr="0097266F" w:rsidRDefault="0097266F" w:rsidP="0097266F">
      <w:pPr>
        <w:spacing w:line="360" w:lineRule="auto"/>
        <w:jc w:val="both"/>
        <w:rPr>
          <w:rFonts w:ascii="Arial" w:hAnsi="Arial" w:cs="Arial"/>
          <w:sz w:val="24"/>
          <w:szCs w:val="24"/>
          <w:lang w:eastAsia="es-ES"/>
        </w:rPr>
      </w:pPr>
      <w:r w:rsidRPr="0097266F">
        <w:rPr>
          <w:rFonts w:ascii="Arial" w:hAnsi="Arial" w:cs="Arial"/>
          <w:b/>
          <w:bCs/>
          <w:color w:val="C00000"/>
          <w:sz w:val="24"/>
          <w:szCs w:val="24"/>
          <w:lang w:eastAsia="es-ES"/>
        </w:rPr>
        <w:t>Hasta el día 10/04/2020</w:t>
      </w:r>
      <w:r w:rsidRPr="0097266F">
        <w:rPr>
          <w:rFonts w:ascii="Arial" w:hAnsi="Arial" w:cs="Arial"/>
          <w:color w:val="C00000"/>
          <w:sz w:val="24"/>
          <w:szCs w:val="24"/>
          <w:lang w:eastAsia="es-ES"/>
        </w:rPr>
        <w:t xml:space="preserve"> </w:t>
      </w:r>
      <w:r w:rsidRPr="0097266F">
        <w:rPr>
          <w:rFonts w:ascii="Arial" w:hAnsi="Arial" w:cs="Arial"/>
          <w:sz w:val="24"/>
          <w:szCs w:val="24"/>
          <w:lang w:eastAsia="es-ES"/>
        </w:rPr>
        <w:t>es el plazo para solicitar el aplazamiento COVID19 con interés reducido del 0,50% para</w:t>
      </w:r>
    </w:p>
    <w:p w:rsidR="0097266F" w:rsidRPr="0097266F" w:rsidRDefault="0097266F" w:rsidP="008E13B0">
      <w:pPr>
        <w:numPr>
          <w:ilvl w:val="0"/>
          <w:numId w:val="1"/>
        </w:numPr>
        <w:spacing w:after="0" w:line="360" w:lineRule="auto"/>
        <w:jc w:val="both"/>
        <w:rPr>
          <w:rFonts w:ascii="Arial" w:eastAsia="Times New Roman" w:hAnsi="Arial" w:cs="Arial"/>
          <w:sz w:val="24"/>
          <w:szCs w:val="24"/>
          <w:lang w:eastAsia="es-ES"/>
        </w:rPr>
      </w:pPr>
      <w:r w:rsidRPr="0097266F">
        <w:rPr>
          <w:rFonts w:ascii="Arial" w:eastAsia="Times New Roman" w:hAnsi="Arial" w:cs="Arial"/>
          <w:sz w:val="24"/>
          <w:szCs w:val="24"/>
          <w:lang w:eastAsia="es-ES"/>
        </w:rPr>
        <w:t>El Período de Liquidación 03/2020 en el caso de empresas. Si alguna empresa tiene autorización de 1 mes diferido en el pago de cuotas, será del Período de Liquidación de 02/2020.</w:t>
      </w:r>
    </w:p>
    <w:p w:rsidR="0097266F" w:rsidRPr="0097266F" w:rsidRDefault="0097266F" w:rsidP="008E13B0">
      <w:pPr>
        <w:numPr>
          <w:ilvl w:val="0"/>
          <w:numId w:val="1"/>
        </w:numPr>
        <w:spacing w:after="0" w:line="360" w:lineRule="auto"/>
        <w:jc w:val="both"/>
        <w:rPr>
          <w:rFonts w:ascii="Arial" w:eastAsia="Times New Roman" w:hAnsi="Arial" w:cs="Arial"/>
          <w:sz w:val="24"/>
          <w:szCs w:val="24"/>
          <w:lang w:eastAsia="es-ES"/>
        </w:rPr>
      </w:pPr>
      <w:r w:rsidRPr="0097266F">
        <w:rPr>
          <w:rFonts w:ascii="Arial" w:eastAsia="Times New Roman" w:hAnsi="Arial" w:cs="Arial"/>
          <w:sz w:val="24"/>
          <w:szCs w:val="24"/>
          <w:lang w:eastAsia="es-ES"/>
        </w:rPr>
        <w:t>Para los trabajadores por cuenta propia del RETA, es el recibo del mes de abril 2020.</w:t>
      </w:r>
    </w:p>
    <w:p w:rsidR="0097266F" w:rsidRPr="0097266F" w:rsidRDefault="0097266F" w:rsidP="0097266F">
      <w:pPr>
        <w:spacing w:line="360" w:lineRule="auto"/>
        <w:jc w:val="both"/>
        <w:rPr>
          <w:rFonts w:ascii="Arial" w:hAnsi="Arial" w:cs="Arial"/>
          <w:sz w:val="24"/>
          <w:szCs w:val="24"/>
          <w:lang w:eastAsia="es-ES"/>
        </w:rPr>
      </w:pPr>
    </w:p>
    <w:p w:rsidR="0097266F" w:rsidRPr="0097266F" w:rsidRDefault="0097266F" w:rsidP="0097266F">
      <w:pPr>
        <w:spacing w:line="360" w:lineRule="auto"/>
        <w:jc w:val="both"/>
        <w:rPr>
          <w:rFonts w:ascii="Arial" w:hAnsi="Arial" w:cs="Arial"/>
          <w:sz w:val="24"/>
          <w:szCs w:val="24"/>
          <w:lang w:eastAsia="es-ES"/>
        </w:rPr>
      </w:pPr>
      <w:r w:rsidRPr="0097266F">
        <w:rPr>
          <w:rFonts w:ascii="Arial" w:hAnsi="Arial" w:cs="Arial"/>
          <w:b/>
          <w:bCs/>
          <w:color w:val="C00000"/>
          <w:sz w:val="24"/>
          <w:szCs w:val="24"/>
          <w:lang w:eastAsia="es-ES"/>
        </w:rPr>
        <w:t>La solicitud de aplazamiento</w:t>
      </w:r>
      <w:r w:rsidRPr="0097266F">
        <w:rPr>
          <w:rFonts w:ascii="Arial" w:hAnsi="Arial" w:cs="Arial"/>
          <w:color w:val="C00000"/>
          <w:sz w:val="24"/>
          <w:szCs w:val="24"/>
          <w:lang w:eastAsia="es-ES"/>
        </w:rPr>
        <w:t xml:space="preserve"> </w:t>
      </w:r>
      <w:r w:rsidRPr="0097266F">
        <w:rPr>
          <w:rFonts w:ascii="Arial" w:hAnsi="Arial" w:cs="Arial"/>
          <w:sz w:val="24"/>
          <w:szCs w:val="24"/>
          <w:lang w:eastAsia="es-ES"/>
        </w:rPr>
        <w:t xml:space="preserve">debe realizarse a través del Registro Electrónico por el trámite </w:t>
      </w:r>
      <w:hyperlink r:id="rId7" w:history="1">
        <w:r w:rsidRPr="0097266F">
          <w:rPr>
            <w:rStyle w:val="Hipervnculo"/>
            <w:rFonts w:ascii="Arial" w:hAnsi="Arial" w:cs="Arial"/>
            <w:sz w:val="24"/>
            <w:szCs w:val="24"/>
            <w:lang w:eastAsia="es-ES"/>
          </w:rPr>
          <w:t>Aplazamiento en el pago de deudas a la Seguridad Social</w:t>
        </w:r>
      </w:hyperlink>
      <w:r w:rsidRPr="0097266F">
        <w:rPr>
          <w:rFonts w:ascii="Arial" w:hAnsi="Arial" w:cs="Arial"/>
          <w:sz w:val="24"/>
          <w:szCs w:val="24"/>
          <w:lang w:eastAsia="es-ES"/>
        </w:rPr>
        <w:t xml:space="preserve">. </w:t>
      </w:r>
    </w:p>
    <w:p w:rsidR="0097266F" w:rsidRPr="0097266F" w:rsidRDefault="0097266F" w:rsidP="008E13B0">
      <w:pPr>
        <w:numPr>
          <w:ilvl w:val="0"/>
          <w:numId w:val="2"/>
        </w:numPr>
        <w:spacing w:after="60" w:line="360" w:lineRule="auto"/>
        <w:jc w:val="both"/>
        <w:rPr>
          <w:rFonts w:ascii="Arial" w:eastAsia="Times New Roman" w:hAnsi="Arial" w:cs="Arial"/>
          <w:sz w:val="24"/>
          <w:szCs w:val="24"/>
          <w:lang w:eastAsia="es-ES"/>
        </w:rPr>
      </w:pPr>
      <w:r w:rsidRPr="0097266F">
        <w:rPr>
          <w:rFonts w:ascii="Arial" w:eastAsia="Times New Roman" w:hAnsi="Arial" w:cs="Arial"/>
          <w:sz w:val="24"/>
          <w:szCs w:val="24"/>
          <w:lang w:eastAsia="es-ES"/>
        </w:rPr>
        <w:t xml:space="preserve">El propio trámite de solicitud es un formulario web, de tal forma que se cumplimentan todos los apartados que contiene </w:t>
      </w:r>
      <w:r w:rsidRPr="0097266F">
        <w:rPr>
          <w:rFonts w:ascii="Arial" w:eastAsia="Times New Roman" w:hAnsi="Arial" w:cs="Arial"/>
          <w:b/>
          <w:bCs/>
          <w:sz w:val="24"/>
          <w:szCs w:val="24"/>
          <w:lang w:eastAsia="es-ES"/>
        </w:rPr>
        <w:t>el modelo TA.17/10</w:t>
      </w:r>
      <w:r w:rsidRPr="0097266F">
        <w:rPr>
          <w:rFonts w:ascii="Arial" w:eastAsia="Times New Roman" w:hAnsi="Arial" w:cs="Arial"/>
          <w:sz w:val="24"/>
          <w:szCs w:val="24"/>
          <w:lang w:eastAsia="es-ES"/>
        </w:rPr>
        <w:t xml:space="preserve"> de solicitud de aplazamiento, por lo que </w:t>
      </w:r>
      <w:r w:rsidRPr="0097266F">
        <w:rPr>
          <w:rFonts w:ascii="Arial" w:eastAsia="Times New Roman" w:hAnsi="Arial" w:cs="Arial"/>
          <w:b/>
          <w:bCs/>
          <w:sz w:val="24"/>
          <w:szCs w:val="24"/>
          <w:lang w:eastAsia="es-ES"/>
        </w:rPr>
        <w:t>no es necesario aportar</w:t>
      </w:r>
      <w:r w:rsidRPr="0097266F">
        <w:rPr>
          <w:rFonts w:ascii="Arial" w:eastAsia="Times New Roman" w:hAnsi="Arial" w:cs="Arial"/>
          <w:sz w:val="24"/>
          <w:szCs w:val="24"/>
          <w:lang w:eastAsia="es-ES"/>
        </w:rPr>
        <w:t xml:space="preserve"> este documento.</w:t>
      </w:r>
    </w:p>
    <w:p w:rsidR="0097266F" w:rsidRPr="0097266F" w:rsidRDefault="0097266F" w:rsidP="008E13B0">
      <w:pPr>
        <w:numPr>
          <w:ilvl w:val="0"/>
          <w:numId w:val="2"/>
        </w:numPr>
        <w:spacing w:after="60" w:line="360" w:lineRule="auto"/>
        <w:jc w:val="both"/>
        <w:rPr>
          <w:rFonts w:ascii="Arial" w:eastAsia="Times New Roman" w:hAnsi="Arial" w:cs="Arial"/>
          <w:sz w:val="24"/>
          <w:szCs w:val="24"/>
          <w:lang w:eastAsia="es-ES"/>
        </w:rPr>
      </w:pPr>
      <w:r w:rsidRPr="0097266F">
        <w:rPr>
          <w:rFonts w:ascii="Arial" w:eastAsia="Times New Roman" w:hAnsi="Arial" w:cs="Arial"/>
          <w:sz w:val="24"/>
          <w:szCs w:val="24"/>
          <w:lang w:eastAsia="es-ES"/>
        </w:rPr>
        <w:lastRenderedPageBreak/>
        <w:t>El autorizado RED está habilitado para presentar la solicitud de aplazamiento, debiendo seleccionar si lo solicita como representante de una persona física o jurídica.</w:t>
      </w:r>
    </w:p>
    <w:p w:rsidR="0097266F" w:rsidRPr="0097266F" w:rsidRDefault="0097266F" w:rsidP="008E13B0">
      <w:pPr>
        <w:numPr>
          <w:ilvl w:val="0"/>
          <w:numId w:val="2"/>
        </w:numPr>
        <w:spacing w:after="60" w:line="360" w:lineRule="auto"/>
        <w:jc w:val="both"/>
        <w:rPr>
          <w:rFonts w:ascii="Arial" w:eastAsia="Times New Roman" w:hAnsi="Arial" w:cs="Arial"/>
          <w:sz w:val="24"/>
          <w:szCs w:val="24"/>
          <w:lang w:eastAsia="es-ES"/>
        </w:rPr>
      </w:pPr>
      <w:r w:rsidRPr="0097266F">
        <w:rPr>
          <w:rFonts w:ascii="Arial" w:eastAsia="Times New Roman" w:hAnsi="Arial" w:cs="Arial"/>
          <w:sz w:val="24"/>
          <w:szCs w:val="24"/>
          <w:lang w:eastAsia="es-ES"/>
        </w:rPr>
        <w:t>En el momento de cumplimentar los campos del formulario web hay que tener en cuenta:</w:t>
      </w:r>
    </w:p>
    <w:p w:rsidR="0097266F" w:rsidRPr="0097266F" w:rsidRDefault="0097266F" w:rsidP="008E13B0">
      <w:pPr>
        <w:numPr>
          <w:ilvl w:val="1"/>
          <w:numId w:val="2"/>
        </w:numPr>
        <w:spacing w:after="60" w:line="360" w:lineRule="auto"/>
        <w:ind w:left="1434" w:hanging="357"/>
        <w:jc w:val="both"/>
        <w:rPr>
          <w:rFonts w:ascii="Arial" w:hAnsi="Arial" w:cs="Arial"/>
          <w:sz w:val="24"/>
          <w:szCs w:val="24"/>
          <w:lang w:eastAsia="es-ES"/>
        </w:rPr>
      </w:pPr>
      <w:r w:rsidRPr="0097266F">
        <w:rPr>
          <w:rFonts w:ascii="Arial" w:hAnsi="Arial" w:cs="Arial"/>
          <w:sz w:val="24"/>
          <w:szCs w:val="24"/>
          <w:lang w:eastAsia="es-ES"/>
        </w:rPr>
        <w:t xml:space="preserve">En el campo </w:t>
      </w:r>
      <w:r w:rsidRPr="0097266F">
        <w:rPr>
          <w:rFonts w:ascii="Arial" w:hAnsi="Arial" w:cs="Arial"/>
          <w:b/>
          <w:bCs/>
          <w:sz w:val="24"/>
          <w:szCs w:val="24"/>
          <w:lang w:eastAsia="es-ES"/>
        </w:rPr>
        <w:t xml:space="preserve">observaciones </w:t>
      </w:r>
      <w:r w:rsidRPr="0097266F">
        <w:rPr>
          <w:rFonts w:ascii="Arial" w:hAnsi="Arial" w:cs="Arial"/>
          <w:sz w:val="24"/>
          <w:szCs w:val="24"/>
          <w:lang w:eastAsia="es-ES"/>
        </w:rPr>
        <w:t xml:space="preserve">hay que indicar </w:t>
      </w:r>
      <w:r w:rsidRPr="0097266F">
        <w:rPr>
          <w:rFonts w:ascii="Arial" w:hAnsi="Arial" w:cs="Arial"/>
          <w:color w:val="000000"/>
          <w:sz w:val="24"/>
          <w:szCs w:val="24"/>
          <w:lang w:eastAsia="es-ES"/>
        </w:rPr>
        <w:t>“</w:t>
      </w:r>
      <w:r w:rsidRPr="0097266F">
        <w:rPr>
          <w:rFonts w:ascii="Arial" w:hAnsi="Arial" w:cs="Arial"/>
          <w:i/>
          <w:iCs/>
          <w:color w:val="000000"/>
          <w:sz w:val="24"/>
          <w:szCs w:val="24"/>
          <w:lang w:eastAsia="es-ES"/>
        </w:rPr>
        <w:t>Artículo 35 del Real Decreto Ley 11/2020</w:t>
      </w:r>
      <w:r w:rsidRPr="0097266F">
        <w:rPr>
          <w:rFonts w:ascii="Arial" w:hAnsi="Arial" w:cs="Arial"/>
          <w:color w:val="000000"/>
          <w:sz w:val="24"/>
          <w:szCs w:val="24"/>
          <w:lang w:eastAsia="es-ES"/>
        </w:rPr>
        <w:t>” para que se entienda que es un aplazamiento COVID19</w:t>
      </w:r>
    </w:p>
    <w:p w:rsidR="0097266F" w:rsidRPr="0097266F" w:rsidRDefault="0097266F" w:rsidP="008E13B0">
      <w:pPr>
        <w:numPr>
          <w:ilvl w:val="1"/>
          <w:numId w:val="3"/>
        </w:numPr>
        <w:spacing w:after="60" w:line="360" w:lineRule="auto"/>
        <w:ind w:left="1434" w:hanging="357"/>
        <w:jc w:val="both"/>
        <w:rPr>
          <w:rFonts w:ascii="Arial" w:hAnsi="Arial" w:cs="Arial"/>
          <w:color w:val="000000"/>
          <w:sz w:val="24"/>
          <w:szCs w:val="24"/>
          <w:lang w:eastAsia="es-ES"/>
        </w:rPr>
      </w:pPr>
      <w:r w:rsidRPr="0097266F">
        <w:rPr>
          <w:rFonts w:ascii="Arial" w:hAnsi="Arial" w:cs="Arial"/>
          <w:color w:val="000000"/>
          <w:sz w:val="24"/>
          <w:szCs w:val="24"/>
          <w:lang w:eastAsia="es-ES"/>
        </w:rPr>
        <w:t xml:space="preserve">En el apartado de </w:t>
      </w:r>
      <w:r w:rsidRPr="0097266F">
        <w:rPr>
          <w:rFonts w:ascii="Arial" w:hAnsi="Arial" w:cs="Arial"/>
          <w:b/>
          <w:bCs/>
          <w:color w:val="000000"/>
          <w:sz w:val="24"/>
          <w:szCs w:val="24"/>
          <w:lang w:eastAsia="es-ES"/>
        </w:rPr>
        <w:t>período de la deuda</w:t>
      </w:r>
      <w:r w:rsidRPr="0097266F">
        <w:rPr>
          <w:rFonts w:ascii="Arial" w:hAnsi="Arial" w:cs="Arial"/>
          <w:color w:val="000000"/>
          <w:sz w:val="24"/>
          <w:szCs w:val="24"/>
          <w:lang w:eastAsia="es-ES"/>
        </w:rPr>
        <w:t xml:space="preserve"> hay que indicar desde 01/03/2020  a 31/03/2020 en el caso de empresas y 01/04/2020 a 30/04/2020 en el caso de trabajadores por cuenta propia del RETA.</w:t>
      </w:r>
    </w:p>
    <w:p w:rsidR="0097266F" w:rsidRPr="0097266F" w:rsidRDefault="0097266F" w:rsidP="008E13B0">
      <w:pPr>
        <w:numPr>
          <w:ilvl w:val="1"/>
          <w:numId w:val="3"/>
        </w:numPr>
        <w:spacing w:after="60" w:line="360" w:lineRule="auto"/>
        <w:ind w:left="1434" w:hanging="357"/>
        <w:jc w:val="both"/>
        <w:rPr>
          <w:rFonts w:ascii="Arial" w:hAnsi="Arial" w:cs="Arial"/>
          <w:color w:val="000000"/>
          <w:sz w:val="24"/>
          <w:szCs w:val="24"/>
          <w:lang w:eastAsia="es-ES"/>
        </w:rPr>
      </w:pPr>
      <w:r w:rsidRPr="0097266F">
        <w:rPr>
          <w:rFonts w:ascii="Arial" w:hAnsi="Arial" w:cs="Arial"/>
          <w:color w:val="000000"/>
          <w:sz w:val="24"/>
          <w:szCs w:val="24"/>
          <w:lang w:eastAsia="es-ES"/>
        </w:rPr>
        <w:t xml:space="preserve">En el campo </w:t>
      </w:r>
      <w:r w:rsidRPr="0097266F">
        <w:rPr>
          <w:rFonts w:ascii="Arial" w:hAnsi="Arial" w:cs="Arial"/>
          <w:b/>
          <w:bCs/>
          <w:color w:val="000000"/>
          <w:sz w:val="24"/>
          <w:szCs w:val="24"/>
          <w:lang w:eastAsia="es-ES"/>
        </w:rPr>
        <w:t>importe de deuda</w:t>
      </w:r>
      <w:r w:rsidRPr="0097266F">
        <w:rPr>
          <w:rFonts w:ascii="Arial" w:hAnsi="Arial" w:cs="Arial"/>
          <w:color w:val="000000"/>
          <w:sz w:val="24"/>
          <w:szCs w:val="24"/>
          <w:lang w:eastAsia="es-ES"/>
        </w:rPr>
        <w:t xml:space="preserve">, las empresas si no conocen su importe porque la liquidación de cuotas no está confirmada, se indicarán los </w:t>
      </w:r>
      <w:r w:rsidRPr="0097266F">
        <w:rPr>
          <w:rFonts w:ascii="Arial" w:hAnsi="Arial" w:cs="Arial"/>
          <w:b/>
          <w:bCs/>
          <w:color w:val="000000"/>
          <w:sz w:val="24"/>
          <w:szCs w:val="24"/>
          <w:lang w:eastAsia="es-ES"/>
        </w:rPr>
        <w:t>importes ficticios</w:t>
      </w:r>
      <w:r w:rsidRPr="0097266F">
        <w:rPr>
          <w:rFonts w:ascii="Arial" w:hAnsi="Arial" w:cs="Arial"/>
          <w:color w:val="000000"/>
          <w:sz w:val="24"/>
          <w:szCs w:val="24"/>
          <w:lang w:eastAsia="es-ES"/>
        </w:rPr>
        <w:t xml:space="preserve"> </w:t>
      </w:r>
      <w:r w:rsidRPr="0097266F">
        <w:rPr>
          <w:rFonts w:ascii="Arial" w:hAnsi="Arial" w:cs="Arial"/>
          <w:b/>
          <w:bCs/>
          <w:color w:val="000000"/>
          <w:sz w:val="24"/>
          <w:szCs w:val="24"/>
          <w:lang w:eastAsia="es-ES"/>
        </w:rPr>
        <w:t>30 para cuotas inaplazables y 100 para cuotas aplazables</w:t>
      </w:r>
      <w:r w:rsidRPr="0097266F">
        <w:rPr>
          <w:rFonts w:ascii="Arial" w:hAnsi="Arial" w:cs="Arial"/>
          <w:color w:val="000000"/>
          <w:sz w:val="24"/>
          <w:szCs w:val="24"/>
          <w:lang w:eastAsia="es-ES"/>
        </w:rPr>
        <w:t xml:space="preserve">. Los trabajadores cuenta propia del RETA, que </w:t>
      </w:r>
      <w:r w:rsidRPr="0097266F">
        <w:rPr>
          <w:rFonts w:ascii="Arial" w:hAnsi="Arial" w:cs="Arial"/>
          <w:b/>
          <w:bCs/>
          <w:color w:val="000000"/>
          <w:sz w:val="24"/>
          <w:szCs w:val="24"/>
          <w:lang w:eastAsia="es-ES"/>
        </w:rPr>
        <w:t>indiquen 0 en cuota inaplazable</w:t>
      </w:r>
      <w:r w:rsidRPr="0097266F">
        <w:rPr>
          <w:rFonts w:ascii="Arial" w:hAnsi="Arial" w:cs="Arial"/>
          <w:color w:val="000000"/>
          <w:sz w:val="24"/>
          <w:szCs w:val="24"/>
          <w:lang w:eastAsia="es-ES"/>
        </w:rPr>
        <w:t xml:space="preserve"> y si no saben el importe del recibo también </w:t>
      </w:r>
      <w:r w:rsidRPr="0097266F">
        <w:rPr>
          <w:rFonts w:ascii="Arial" w:hAnsi="Arial" w:cs="Arial"/>
          <w:b/>
          <w:bCs/>
          <w:color w:val="000000"/>
          <w:sz w:val="24"/>
          <w:szCs w:val="24"/>
          <w:lang w:eastAsia="es-ES"/>
        </w:rPr>
        <w:t>100 para cuotas aplazables</w:t>
      </w:r>
      <w:r w:rsidRPr="0097266F">
        <w:rPr>
          <w:rFonts w:ascii="Arial" w:hAnsi="Arial" w:cs="Arial"/>
          <w:color w:val="000000"/>
          <w:sz w:val="24"/>
          <w:szCs w:val="24"/>
          <w:lang w:eastAsia="es-ES"/>
        </w:rPr>
        <w:t xml:space="preserve">. </w:t>
      </w:r>
      <w:r w:rsidRPr="0097266F">
        <w:rPr>
          <w:rFonts w:ascii="Arial" w:hAnsi="Arial" w:cs="Arial"/>
          <w:color w:val="000000"/>
          <w:sz w:val="24"/>
          <w:szCs w:val="24"/>
          <w:u w:val="single"/>
          <w:lang w:eastAsia="es-ES"/>
        </w:rPr>
        <w:t xml:space="preserve">Lógicamente esto sólo es para poder continuar con la solicitud. </w:t>
      </w:r>
    </w:p>
    <w:p w:rsidR="0097266F" w:rsidRPr="0097266F" w:rsidRDefault="0097266F" w:rsidP="008E13B0">
      <w:pPr>
        <w:numPr>
          <w:ilvl w:val="1"/>
          <w:numId w:val="3"/>
        </w:numPr>
        <w:spacing w:after="60" w:line="360" w:lineRule="auto"/>
        <w:ind w:left="1434" w:hanging="357"/>
        <w:jc w:val="both"/>
        <w:rPr>
          <w:rFonts w:ascii="Arial" w:hAnsi="Arial" w:cs="Arial"/>
          <w:color w:val="000000"/>
          <w:sz w:val="24"/>
          <w:szCs w:val="24"/>
          <w:lang w:eastAsia="es-ES"/>
        </w:rPr>
      </w:pPr>
      <w:r w:rsidRPr="0097266F">
        <w:rPr>
          <w:rFonts w:ascii="Arial" w:hAnsi="Arial" w:cs="Arial"/>
          <w:color w:val="000000"/>
          <w:sz w:val="24"/>
          <w:szCs w:val="24"/>
          <w:lang w:eastAsia="es-ES"/>
        </w:rPr>
        <w:t xml:space="preserve">En el momento de anexar documentación, debe aportarse el </w:t>
      </w:r>
      <w:r w:rsidRPr="0097266F">
        <w:rPr>
          <w:rFonts w:ascii="Arial" w:hAnsi="Arial" w:cs="Arial"/>
          <w:i/>
          <w:iCs/>
          <w:color w:val="000000"/>
          <w:sz w:val="24"/>
          <w:szCs w:val="24"/>
          <w:lang w:eastAsia="es-ES"/>
        </w:rPr>
        <w:t>Mandato / Orden de domiciliación de adeudos directos SEPA</w:t>
      </w:r>
      <w:r w:rsidRPr="0097266F">
        <w:rPr>
          <w:rFonts w:ascii="Arial" w:hAnsi="Arial" w:cs="Arial"/>
          <w:color w:val="000000"/>
          <w:sz w:val="24"/>
          <w:szCs w:val="24"/>
          <w:lang w:eastAsia="es-ES"/>
        </w:rPr>
        <w:t xml:space="preserve"> para el pago de cuotas de la Seguridad Social </w:t>
      </w:r>
      <w:hyperlink r:id="rId8" w:history="1">
        <w:r w:rsidRPr="0097266F">
          <w:rPr>
            <w:rStyle w:val="Hipervnculo"/>
            <w:rFonts w:ascii="Arial" w:hAnsi="Arial" w:cs="Arial"/>
            <w:sz w:val="24"/>
            <w:szCs w:val="24"/>
            <w:lang w:eastAsia="es-ES"/>
          </w:rPr>
          <w:t>TC 1/15-3</w:t>
        </w:r>
      </w:hyperlink>
      <w:r w:rsidRPr="0097266F">
        <w:rPr>
          <w:rFonts w:ascii="Arial" w:hAnsi="Arial" w:cs="Arial"/>
          <w:color w:val="000000"/>
          <w:sz w:val="24"/>
          <w:szCs w:val="24"/>
          <w:lang w:eastAsia="es-ES"/>
        </w:rPr>
        <w:t>. Además, si es necesario ofrecer garantías, los documentos que correspondan.</w:t>
      </w:r>
    </w:p>
    <w:p w:rsidR="0097266F" w:rsidRPr="0097266F" w:rsidRDefault="0097266F" w:rsidP="008E13B0">
      <w:pPr>
        <w:numPr>
          <w:ilvl w:val="1"/>
          <w:numId w:val="3"/>
        </w:numPr>
        <w:spacing w:after="60" w:line="360" w:lineRule="auto"/>
        <w:ind w:left="1434" w:hanging="357"/>
        <w:jc w:val="both"/>
        <w:rPr>
          <w:rFonts w:ascii="Arial" w:hAnsi="Arial" w:cs="Arial"/>
          <w:color w:val="000000"/>
          <w:sz w:val="24"/>
          <w:szCs w:val="24"/>
          <w:lang w:eastAsia="es-ES"/>
        </w:rPr>
      </w:pPr>
      <w:r w:rsidRPr="0097266F">
        <w:rPr>
          <w:rFonts w:ascii="Arial" w:hAnsi="Arial" w:cs="Arial"/>
          <w:b/>
          <w:bCs/>
          <w:color w:val="000000"/>
          <w:sz w:val="24"/>
          <w:szCs w:val="24"/>
          <w:lang w:eastAsia="es-ES"/>
        </w:rPr>
        <w:t xml:space="preserve">No es preciso adjuntar en ese momento el modelo de reconocimiento de deuda </w:t>
      </w:r>
      <w:hyperlink r:id="rId9" w:history="1">
        <w:r w:rsidRPr="0097266F">
          <w:rPr>
            <w:rStyle w:val="Hipervnculo"/>
            <w:rFonts w:ascii="Arial" w:hAnsi="Arial" w:cs="Arial"/>
            <w:b/>
            <w:bCs/>
            <w:color w:val="000000"/>
            <w:sz w:val="24"/>
            <w:szCs w:val="24"/>
            <w:lang w:eastAsia="es-ES"/>
          </w:rPr>
          <w:t>TC 17/11. Reconocimiento de Deuda</w:t>
        </w:r>
      </w:hyperlink>
      <w:r w:rsidRPr="0097266F">
        <w:rPr>
          <w:rFonts w:ascii="Arial" w:hAnsi="Arial" w:cs="Arial"/>
          <w:color w:val="000000"/>
          <w:sz w:val="24"/>
          <w:szCs w:val="24"/>
          <w:lang w:eastAsia="es-ES"/>
        </w:rPr>
        <w:t xml:space="preserve"> si todavía no está confirmada la liquidación de cuotas. Ya se presentará cuando durante el mes de abril se confirme la liquidación de cuotas. Se utilizará el trámite del Registro Electrónico Presentación de </w:t>
      </w:r>
      <w:hyperlink r:id="rId10" w:history="1">
        <w:r w:rsidRPr="0097266F">
          <w:rPr>
            <w:rStyle w:val="Hipervnculo"/>
            <w:rFonts w:ascii="Arial" w:hAnsi="Arial" w:cs="Arial"/>
            <w:sz w:val="24"/>
            <w:szCs w:val="24"/>
            <w:lang w:eastAsia="es-ES"/>
          </w:rPr>
          <w:t>Otros escritos, solicitudes y comunicaciones (Tesorería General de la Seguridad Social),</w:t>
        </w:r>
      </w:hyperlink>
      <w:r w:rsidRPr="0097266F">
        <w:rPr>
          <w:rFonts w:ascii="Arial" w:hAnsi="Arial" w:cs="Arial"/>
          <w:color w:val="000000"/>
          <w:sz w:val="24"/>
          <w:szCs w:val="24"/>
          <w:lang w:eastAsia="es-ES"/>
        </w:rPr>
        <w:t xml:space="preserve"> donde en el apartado de observaciones se hará constar el número de justificante de presentación y fecha de la solicitud del aplazamiento. Este documento de reconocimiento de deuda podrá ser firmado electrónicamente por el usuario principal de la autorización RED.</w:t>
      </w:r>
    </w:p>
    <w:p w:rsidR="0097266F" w:rsidRPr="0097266F" w:rsidRDefault="0097266F" w:rsidP="0097266F">
      <w:pPr>
        <w:spacing w:after="60" w:line="360" w:lineRule="auto"/>
        <w:jc w:val="both"/>
        <w:rPr>
          <w:rFonts w:ascii="Arial" w:hAnsi="Arial" w:cs="Arial"/>
          <w:color w:val="000000"/>
          <w:sz w:val="24"/>
          <w:szCs w:val="24"/>
          <w:lang w:eastAsia="es-ES"/>
        </w:rPr>
      </w:pPr>
    </w:p>
    <w:p w:rsidR="0097266F" w:rsidRPr="0097266F" w:rsidRDefault="0097266F" w:rsidP="0097266F">
      <w:pPr>
        <w:spacing w:after="60" w:line="360" w:lineRule="auto"/>
        <w:jc w:val="both"/>
        <w:rPr>
          <w:rFonts w:ascii="Arial" w:hAnsi="Arial" w:cs="Arial"/>
          <w:color w:val="000000"/>
          <w:sz w:val="24"/>
          <w:szCs w:val="24"/>
          <w:lang w:eastAsia="es-ES"/>
        </w:rPr>
      </w:pPr>
      <w:r w:rsidRPr="0097266F">
        <w:rPr>
          <w:rFonts w:ascii="Arial" w:hAnsi="Arial" w:cs="Arial"/>
          <w:color w:val="C00000"/>
          <w:sz w:val="24"/>
          <w:szCs w:val="24"/>
          <w:lang w:eastAsia="es-ES"/>
        </w:rPr>
        <w:t xml:space="preserve">El </w:t>
      </w:r>
      <w:r w:rsidRPr="0097266F">
        <w:rPr>
          <w:rFonts w:ascii="Arial" w:hAnsi="Arial" w:cs="Arial"/>
          <w:b/>
          <w:bCs/>
          <w:i/>
          <w:iCs/>
          <w:color w:val="C00000"/>
          <w:sz w:val="24"/>
          <w:szCs w:val="24"/>
          <w:lang w:eastAsia="es-ES"/>
        </w:rPr>
        <w:t>Mandato / Orden de domiciliación de adeudos directos SEPA</w:t>
      </w:r>
      <w:r w:rsidRPr="0097266F">
        <w:rPr>
          <w:rFonts w:ascii="Arial" w:hAnsi="Arial" w:cs="Arial"/>
          <w:color w:val="C00000"/>
          <w:sz w:val="24"/>
          <w:szCs w:val="24"/>
          <w:lang w:eastAsia="es-ES"/>
        </w:rPr>
        <w:t xml:space="preserve"> </w:t>
      </w:r>
      <w:r w:rsidRPr="0097266F">
        <w:rPr>
          <w:rFonts w:ascii="Arial" w:hAnsi="Arial" w:cs="Arial"/>
          <w:color w:val="000000"/>
          <w:sz w:val="24"/>
          <w:szCs w:val="24"/>
          <w:lang w:eastAsia="es-ES"/>
        </w:rPr>
        <w:t xml:space="preserve">para el pago de las cuotas deberá estar firmado por el </w:t>
      </w:r>
      <w:r w:rsidRPr="0097266F">
        <w:rPr>
          <w:rFonts w:ascii="Arial" w:hAnsi="Arial" w:cs="Arial"/>
          <w:color w:val="000000"/>
          <w:sz w:val="24"/>
          <w:szCs w:val="24"/>
          <w:u w:val="single"/>
          <w:lang w:eastAsia="es-ES"/>
        </w:rPr>
        <w:t>sujeto responsable</w:t>
      </w:r>
      <w:r w:rsidRPr="0097266F">
        <w:rPr>
          <w:rFonts w:ascii="Arial" w:hAnsi="Arial" w:cs="Arial"/>
          <w:color w:val="000000"/>
          <w:sz w:val="24"/>
          <w:szCs w:val="24"/>
          <w:lang w:eastAsia="es-ES"/>
        </w:rPr>
        <w:t xml:space="preserve"> y </w:t>
      </w:r>
      <w:r w:rsidRPr="0097266F">
        <w:rPr>
          <w:rFonts w:ascii="Arial" w:hAnsi="Arial" w:cs="Arial"/>
          <w:color w:val="000000"/>
          <w:sz w:val="24"/>
          <w:szCs w:val="24"/>
          <w:u w:val="single"/>
          <w:lang w:eastAsia="es-ES"/>
        </w:rPr>
        <w:t>el titular de la cuenta bancaria</w:t>
      </w:r>
      <w:r w:rsidRPr="0097266F">
        <w:rPr>
          <w:rFonts w:ascii="Arial" w:hAnsi="Arial" w:cs="Arial"/>
          <w:color w:val="000000"/>
          <w:sz w:val="24"/>
          <w:szCs w:val="24"/>
          <w:lang w:eastAsia="es-ES"/>
        </w:rPr>
        <w:t>. No vale la firma del autorizado RED.</w:t>
      </w:r>
    </w:p>
    <w:p w:rsidR="0097266F" w:rsidRPr="0097266F" w:rsidRDefault="0097266F" w:rsidP="008E13B0">
      <w:pPr>
        <w:numPr>
          <w:ilvl w:val="0"/>
          <w:numId w:val="4"/>
        </w:numPr>
        <w:spacing w:after="60" w:line="360" w:lineRule="auto"/>
        <w:jc w:val="both"/>
        <w:rPr>
          <w:rFonts w:ascii="Arial" w:eastAsia="Times New Roman" w:hAnsi="Arial" w:cs="Arial"/>
          <w:color w:val="000000"/>
          <w:sz w:val="24"/>
          <w:szCs w:val="24"/>
          <w:lang w:eastAsia="es-ES"/>
        </w:rPr>
      </w:pPr>
      <w:r w:rsidRPr="0097266F">
        <w:rPr>
          <w:rFonts w:ascii="Arial" w:eastAsia="Times New Roman" w:hAnsi="Arial" w:cs="Arial"/>
          <w:color w:val="000000"/>
          <w:sz w:val="24"/>
          <w:szCs w:val="24"/>
          <w:lang w:eastAsia="es-ES"/>
        </w:rPr>
        <w:t>Si éstos son personas físicas servirá la firma digital o manuscrita. Si es manuscrita debe adjuntarse copia del documento de identificación.</w:t>
      </w:r>
    </w:p>
    <w:p w:rsidR="0097266F" w:rsidRPr="0097266F" w:rsidRDefault="0097266F" w:rsidP="008E13B0">
      <w:pPr>
        <w:numPr>
          <w:ilvl w:val="0"/>
          <w:numId w:val="4"/>
        </w:numPr>
        <w:spacing w:after="60" w:line="360" w:lineRule="auto"/>
        <w:jc w:val="both"/>
        <w:rPr>
          <w:rFonts w:ascii="Arial" w:eastAsia="Times New Roman" w:hAnsi="Arial" w:cs="Arial"/>
          <w:color w:val="000000"/>
          <w:sz w:val="24"/>
          <w:szCs w:val="24"/>
          <w:lang w:eastAsia="es-ES"/>
        </w:rPr>
      </w:pPr>
      <w:r w:rsidRPr="0097266F">
        <w:rPr>
          <w:rFonts w:ascii="Arial" w:eastAsia="Times New Roman" w:hAnsi="Arial" w:cs="Arial"/>
          <w:color w:val="000000"/>
          <w:sz w:val="24"/>
          <w:szCs w:val="24"/>
          <w:lang w:eastAsia="es-ES"/>
        </w:rPr>
        <w:t>Si son personas jurídicas, servirá la firma electrónica con certificado de representación, de persona jurídica o de entidad sin personalidad jurídica. También servirá la firma manuscrita del representante legal, pero deberá aportarse copia del documento de identificación y aquella documentación que otorgue la representación legal.</w:t>
      </w:r>
    </w:p>
    <w:p w:rsidR="0097266F" w:rsidRPr="0097266F" w:rsidRDefault="0097266F" w:rsidP="0097266F">
      <w:pPr>
        <w:spacing w:after="60" w:line="360" w:lineRule="auto"/>
        <w:jc w:val="both"/>
        <w:rPr>
          <w:rFonts w:ascii="Arial" w:hAnsi="Arial" w:cs="Arial"/>
          <w:b/>
          <w:bCs/>
          <w:color w:val="000000"/>
          <w:sz w:val="24"/>
          <w:szCs w:val="24"/>
          <w:lang w:eastAsia="es-ES"/>
        </w:rPr>
      </w:pPr>
    </w:p>
    <w:p w:rsidR="0097266F" w:rsidRPr="0097266F" w:rsidRDefault="0097266F" w:rsidP="0097266F">
      <w:pPr>
        <w:spacing w:after="60" w:line="360" w:lineRule="auto"/>
        <w:jc w:val="both"/>
        <w:rPr>
          <w:rFonts w:ascii="Arial" w:hAnsi="Arial" w:cs="Arial"/>
          <w:b/>
          <w:bCs/>
          <w:color w:val="C00000"/>
          <w:sz w:val="24"/>
          <w:szCs w:val="24"/>
          <w:lang w:eastAsia="es-ES"/>
        </w:rPr>
      </w:pPr>
      <w:r w:rsidRPr="0097266F">
        <w:rPr>
          <w:rFonts w:ascii="Arial" w:hAnsi="Arial" w:cs="Arial"/>
          <w:b/>
          <w:bCs/>
          <w:color w:val="C00000"/>
          <w:sz w:val="24"/>
          <w:szCs w:val="24"/>
          <w:lang w:eastAsia="es-ES"/>
        </w:rPr>
        <w:t>Pago de cuotas inaplazables.</w:t>
      </w:r>
    </w:p>
    <w:p w:rsidR="0097266F" w:rsidRPr="0097266F" w:rsidRDefault="0097266F" w:rsidP="008E13B0">
      <w:pPr>
        <w:numPr>
          <w:ilvl w:val="0"/>
          <w:numId w:val="5"/>
        </w:numPr>
        <w:spacing w:after="60" w:line="360" w:lineRule="auto"/>
        <w:jc w:val="both"/>
        <w:rPr>
          <w:rFonts w:ascii="Arial" w:eastAsia="Times New Roman" w:hAnsi="Arial" w:cs="Arial"/>
          <w:color w:val="000000"/>
          <w:sz w:val="24"/>
          <w:szCs w:val="24"/>
          <w:lang w:eastAsia="es-ES"/>
        </w:rPr>
      </w:pPr>
      <w:r w:rsidRPr="0097266F">
        <w:rPr>
          <w:rFonts w:ascii="Arial" w:eastAsia="Times New Roman" w:hAnsi="Arial" w:cs="Arial"/>
          <w:color w:val="000000"/>
          <w:sz w:val="24"/>
          <w:szCs w:val="24"/>
          <w:lang w:eastAsia="es-ES"/>
        </w:rPr>
        <w:t xml:space="preserve">Para las empresas son cuotas inaplazables la cuota obrera y las de ATEP. </w:t>
      </w:r>
    </w:p>
    <w:p w:rsidR="0097266F" w:rsidRPr="0097266F" w:rsidRDefault="0097266F" w:rsidP="008E13B0">
      <w:pPr>
        <w:numPr>
          <w:ilvl w:val="0"/>
          <w:numId w:val="5"/>
        </w:numPr>
        <w:spacing w:after="60" w:line="360" w:lineRule="auto"/>
        <w:jc w:val="both"/>
        <w:rPr>
          <w:rFonts w:ascii="Arial" w:eastAsia="Times New Roman" w:hAnsi="Arial" w:cs="Arial"/>
          <w:color w:val="000000"/>
          <w:sz w:val="24"/>
          <w:szCs w:val="24"/>
          <w:lang w:eastAsia="es-ES"/>
        </w:rPr>
      </w:pPr>
      <w:r w:rsidRPr="0097266F">
        <w:rPr>
          <w:rFonts w:ascii="Arial" w:eastAsia="Times New Roman" w:hAnsi="Arial" w:cs="Arial"/>
          <w:color w:val="000000"/>
          <w:sz w:val="24"/>
          <w:szCs w:val="24"/>
          <w:lang w:eastAsia="es-ES"/>
        </w:rPr>
        <w:t>Cuando se resuelva el aplazamiento se notificará electrónicamente a través de la Sede Electrónica de la Seguridad Social. En ese documento se indicará como deben de ingresarse las cuotas inaplazables, que será en el plazo máximo de un mes desde la fecha de notificación de la resolución.</w:t>
      </w:r>
    </w:p>
    <w:p w:rsidR="0097266F" w:rsidRPr="0097266F" w:rsidRDefault="0097266F" w:rsidP="0097266F">
      <w:pPr>
        <w:spacing w:after="60" w:line="360" w:lineRule="auto"/>
        <w:jc w:val="both"/>
        <w:rPr>
          <w:rFonts w:ascii="Arial" w:hAnsi="Arial" w:cs="Arial"/>
          <w:color w:val="000000"/>
          <w:sz w:val="24"/>
          <w:szCs w:val="24"/>
          <w:lang w:eastAsia="es-ES"/>
        </w:rPr>
      </w:pPr>
    </w:p>
    <w:p w:rsidR="0097266F" w:rsidRPr="0097266F" w:rsidRDefault="0097266F" w:rsidP="0097266F">
      <w:pPr>
        <w:spacing w:after="60" w:line="360" w:lineRule="auto"/>
        <w:jc w:val="both"/>
        <w:rPr>
          <w:rFonts w:ascii="Arial" w:hAnsi="Arial" w:cs="Arial"/>
          <w:color w:val="000000"/>
          <w:sz w:val="24"/>
          <w:szCs w:val="24"/>
          <w:lang w:eastAsia="es-ES"/>
        </w:rPr>
      </w:pPr>
      <w:r w:rsidRPr="0097266F">
        <w:rPr>
          <w:rFonts w:ascii="Arial" w:hAnsi="Arial" w:cs="Arial"/>
          <w:color w:val="000000"/>
          <w:sz w:val="24"/>
          <w:szCs w:val="24"/>
          <w:lang w:eastAsia="es-ES"/>
        </w:rPr>
        <w:t>Debido a la gran cantidad de aplazamientos que se esperan la fecha de resolución puede tardar bastante, pero en todo caso habrá notificación de la resolución adoptada.</w:t>
      </w:r>
    </w:p>
    <w:p w:rsidR="0097266F" w:rsidRPr="0097266F" w:rsidRDefault="0097266F" w:rsidP="0097266F">
      <w:pPr>
        <w:spacing w:line="360" w:lineRule="auto"/>
        <w:jc w:val="both"/>
        <w:rPr>
          <w:rFonts w:ascii="Arial" w:hAnsi="Arial" w:cs="Arial"/>
          <w:sz w:val="24"/>
          <w:szCs w:val="24"/>
        </w:rPr>
      </w:pPr>
    </w:p>
    <w:p w:rsidR="0097266F" w:rsidRPr="0097266F" w:rsidRDefault="0097266F" w:rsidP="0097266F">
      <w:pPr>
        <w:spacing w:line="360" w:lineRule="auto"/>
        <w:jc w:val="both"/>
        <w:rPr>
          <w:rFonts w:ascii="Arial" w:hAnsi="Arial" w:cs="Arial"/>
          <w:sz w:val="24"/>
          <w:szCs w:val="24"/>
        </w:rPr>
      </w:pPr>
      <w:r w:rsidRPr="0097266F">
        <w:rPr>
          <w:rFonts w:ascii="Arial" w:hAnsi="Arial" w:cs="Arial"/>
          <w:color w:val="1F497D"/>
          <w:sz w:val="24"/>
          <w:szCs w:val="24"/>
        </w:rPr>
        <w:t>Para más información o aclaración puede contactar con la asesoría jurídica del CODECS_ Tel. 964623050</w:t>
      </w:r>
    </w:p>
    <w:bookmarkEnd w:id="0"/>
    <w:p w:rsidR="005048B7" w:rsidRDefault="005048B7" w:rsidP="005048B7">
      <w:pPr>
        <w:rPr>
          <w:color w:val="1F497D"/>
        </w:rPr>
      </w:pPr>
    </w:p>
    <w:p w:rsidR="005048B7" w:rsidRDefault="005048B7" w:rsidP="005048B7">
      <w:pPr>
        <w:rPr>
          <w:color w:val="1F497D"/>
        </w:rPr>
      </w:pPr>
    </w:p>
    <w:p w:rsidR="005048B7" w:rsidRDefault="005048B7" w:rsidP="005048B7">
      <w:pPr>
        <w:rPr>
          <w:color w:val="1F497D"/>
        </w:rPr>
      </w:pPr>
    </w:p>
    <w:sectPr w:rsidR="005048B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B0" w:rsidRDefault="008E13B0" w:rsidP="00927841">
      <w:pPr>
        <w:spacing w:after="0" w:line="240" w:lineRule="auto"/>
      </w:pPr>
      <w:r>
        <w:separator/>
      </w:r>
    </w:p>
  </w:endnote>
  <w:endnote w:type="continuationSeparator" w:id="0">
    <w:p w:rsidR="008E13B0" w:rsidRDefault="008E13B0" w:rsidP="0092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334273"/>
      <w:docPartObj>
        <w:docPartGallery w:val="Page Numbers (Bottom of Page)"/>
        <w:docPartUnique/>
      </w:docPartObj>
    </w:sdtPr>
    <w:sdtEndPr/>
    <w:sdtContent>
      <w:p w:rsidR="00927841" w:rsidRDefault="00927841">
        <w:pPr>
          <w:pStyle w:val="Piedepgina"/>
          <w:jc w:val="center"/>
        </w:pPr>
        <w:r>
          <w:fldChar w:fldCharType="begin"/>
        </w:r>
        <w:r>
          <w:instrText>PAGE   \* MERGEFORMAT</w:instrText>
        </w:r>
        <w:r>
          <w:fldChar w:fldCharType="separate"/>
        </w:r>
        <w:r w:rsidR="0097266F">
          <w:rPr>
            <w:noProof/>
          </w:rPr>
          <w:t>3</w:t>
        </w:r>
        <w:r>
          <w:fldChar w:fldCharType="end"/>
        </w:r>
      </w:p>
    </w:sdtContent>
  </w:sdt>
  <w:p w:rsidR="00927841" w:rsidRDefault="00927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B0" w:rsidRDefault="008E13B0" w:rsidP="00927841">
      <w:pPr>
        <w:spacing w:after="0" w:line="240" w:lineRule="auto"/>
      </w:pPr>
      <w:r>
        <w:separator/>
      </w:r>
    </w:p>
  </w:footnote>
  <w:footnote w:type="continuationSeparator" w:id="0">
    <w:p w:rsidR="008E13B0" w:rsidRDefault="008E13B0" w:rsidP="0092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3F5F"/>
    <w:multiLevelType w:val="hybridMultilevel"/>
    <w:tmpl w:val="A7586C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A7651DA"/>
    <w:multiLevelType w:val="hybridMultilevel"/>
    <w:tmpl w:val="A85E9A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57059EC"/>
    <w:multiLevelType w:val="hybridMultilevel"/>
    <w:tmpl w:val="FC1A08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15B52E5"/>
    <w:multiLevelType w:val="hybridMultilevel"/>
    <w:tmpl w:val="77AA4DC2"/>
    <w:lvl w:ilvl="0" w:tplc="0C0A0005">
      <w:start w:val="1"/>
      <w:numFmt w:val="bullet"/>
      <w:lvlText w:val=""/>
      <w:lvlJc w:val="left"/>
      <w:pPr>
        <w:ind w:left="1077" w:hanging="360"/>
      </w:pPr>
      <w:rPr>
        <w:rFonts w:ascii="Wingdings" w:hAnsi="Wingdings" w:hint="default"/>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17">
      <w:start w:val="1"/>
      <w:numFmt w:val="lowerLetter"/>
      <w:lvlText w:val="%4)"/>
      <w:lvlJc w:val="left"/>
      <w:pPr>
        <w:ind w:left="3237" w:hanging="360"/>
      </w:pPr>
    </w:lvl>
    <w:lvl w:ilvl="4" w:tplc="0C0A0003">
      <w:start w:val="1"/>
      <w:numFmt w:val="bullet"/>
      <w:lvlText w:val="o"/>
      <w:lvlJc w:val="left"/>
      <w:pPr>
        <w:ind w:left="3957" w:hanging="360"/>
      </w:pPr>
      <w:rPr>
        <w:rFonts w:ascii="Courier New" w:hAnsi="Courier New" w:cs="Courier New" w:hint="default"/>
      </w:rPr>
    </w:lvl>
    <w:lvl w:ilvl="5" w:tplc="0C0A0005">
      <w:start w:val="1"/>
      <w:numFmt w:val="bullet"/>
      <w:lvlText w:val=""/>
      <w:lvlJc w:val="left"/>
      <w:pPr>
        <w:ind w:left="4677" w:hanging="360"/>
      </w:pPr>
      <w:rPr>
        <w:rFonts w:ascii="Wingdings" w:hAnsi="Wingdings" w:hint="default"/>
      </w:rPr>
    </w:lvl>
    <w:lvl w:ilvl="6" w:tplc="0C0A0001">
      <w:start w:val="1"/>
      <w:numFmt w:val="bullet"/>
      <w:lvlText w:val=""/>
      <w:lvlJc w:val="left"/>
      <w:pPr>
        <w:ind w:left="5397" w:hanging="360"/>
      </w:pPr>
      <w:rPr>
        <w:rFonts w:ascii="Symbol" w:hAnsi="Symbol" w:hint="default"/>
      </w:rPr>
    </w:lvl>
    <w:lvl w:ilvl="7" w:tplc="0C0A0003">
      <w:start w:val="1"/>
      <w:numFmt w:val="bullet"/>
      <w:lvlText w:val="o"/>
      <w:lvlJc w:val="left"/>
      <w:pPr>
        <w:ind w:left="6117" w:hanging="360"/>
      </w:pPr>
      <w:rPr>
        <w:rFonts w:ascii="Courier New" w:hAnsi="Courier New" w:cs="Courier New" w:hint="default"/>
      </w:rPr>
    </w:lvl>
    <w:lvl w:ilvl="8" w:tplc="0C0A0005">
      <w:start w:val="1"/>
      <w:numFmt w:val="bullet"/>
      <w:lvlText w:val=""/>
      <w:lvlJc w:val="left"/>
      <w:pPr>
        <w:ind w:left="6837" w:hanging="360"/>
      </w:pPr>
      <w:rPr>
        <w:rFonts w:ascii="Wingdings" w:hAnsi="Wingdings" w:hint="default"/>
      </w:rPr>
    </w:lvl>
  </w:abstractNum>
  <w:abstractNum w:abstractNumId="4" w15:restartNumberingAfterBreak="0">
    <w:nsid w:val="57B63A29"/>
    <w:multiLevelType w:val="hybridMultilevel"/>
    <w:tmpl w:val="CA54A7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startOverride w:val="1"/>
    </w:lvlOverride>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CE"/>
    <w:rsid w:val="000B6132"/>
    <w:rsid w:val="000D0708"/>
    <w:rsid w:val="000E644D"/>
    <w:rsid w:val="000F383F"/>
    <w:rsid w:val="00131D6D"/>
    <w:rsid w:val="001C0D5D"/>
    <w:rsid w:val="0028429D"/>
    <w:rsid w:val="00397D10"/>
    <w:rsid w:val="003B111F"/>
    <w:rsid w:val="00463892"/>
    <w:rsid w:val="00491C85"/>
    <w:rsid w:val="004A2B5A"/>
    <w:rsid w:val="005048B7"/>
    <w:rsid w:val="00534C9D"/>
    <w:rsid w:val="0054062B"/>
    <w:rsid w:val="00605662"/>
    <w:rsid w:val="00626630"/>
    <w:rsid w:val="006A75A2"/>
    <w:rsid w:val="006B0ED1"/>
    <w:rsid w:val="006F139B"/>
    <w:rsid w:val="00703C2B"/>
    <w:rsid w:val="00711F46"/>
    <w:rsid w:val="007E6180"/>
    <w:rsid w:val="0084610E"/>
    <w:rsid w:val="008A568C"/>
    <w:rsid w:val="008E13B0"/>
    <w:rsid w:val="009041EB"/>
    <w:rsid w:val="00927841"/>
    <w:rsid w:val="0097266F"/>
    <w:rsid w:val="009C7F3B"/>
    <w:rsid w:val="00A625C3"/>
    <w:rsid w:val="00AA106D"/>
    <w:rsid w:val="00B55A56"/>
    <w:rsid w:val="00BA08BB"/>
    <w:rsid w:val="00BE04CE"/>
    <w:rsid w:val="00C9782A"/>
    <w:rsid w:val="00CB67C9"/>
    <w:rsid w:val="00CC44D6"/>
    <w:rsid w:val="00D73C82"/>
    <w:rsid w:val="00D9476D"/>
    <w:rsid w:val="00DA3502"/>
    <w:rsid w:val="00DE38EA"/>
    <w:rsid w:val="00E8754F"/>
    <w:rsid w:val="00EC621D"/>
    <w:rsid w:val="00F52986"/>
    <w:rsid w:val="00FA2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6FD07-FBF8-46DB-A1F8-FC4BB102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4CE"/>
    <w:pPr>
      <w:ind w:left="720"/>
      <w:contextualSpacing/>
    </w:pPr>
  </w:style>
  <w:style w:type="paragraph" w:styleId="Textodeglobo">
    <w:name w:val="Balloon Text"/>
    <w:basedOn w:val="Normal"/>
    <w:link w:val="TextodegloboCar"/>
    <w:uiPriority w:val="99"/>
    <w:semiHidden/>
    <w:unhideWhenUsed/>
    <w:rsid w:val="00BE04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4CE"/>
    <w:rPr>
      <w:rFonts w:ascii="Segoe UI" w:hAnsi="Segoe UI" w:cs="Segoe UI"/>
      <w:sz w:val="18"/>
      <w:szCs w:val="18"/>
    </w:rPr>
  </w:style>
  <w:style w:type="character" w:styleId="Hipervnculo">
    <w:name w:val="Hyperlink"/>
    <w:basedOn w:val="Fuentedeprrafopredeter"/>
    <w:uiPriority w:val="99"/>
    <w:unhideWhenUsed/>
    <w:rsid w:val="00BE04CE"/>
    <w:rPr>
      <w:color w:val="0563C1" w:themeColor="hyperlink"/>
      <w:u w:val="single"/>
    </w:rPr>
  </w:style>
  <w:style w:type="character" w:customStyle="1" w:styleId="UnresolvedMention">
    <w:name w:val="Unresolved Mention"/>
    <w:basedOn w:val="Fuentedeprrafopredeter"/>
    <w:uiPriority w:val="99"/>
    <w:semiHidden/>
    <w:unhideWhenUsed/>
    <w:rsid w:val="00BE04CE"/>
    <w:rPr>
      <w:color w:val="605E5C"/>
      <w:shd w:val="clear" w:color="auto" w:fill="E1DFDD"/>
    </w:rPr>
  </w:style>
  <w:style w:type="character" w:styleId="Hipervnculovisitado">
    <w:name w:val="FollowedHyperlink"/>
    <w:basedOn w:val="Fuentedeprrafopredeter"/>
    <w:uiPriority w:val="99"/>
    <w:semiHidden/>
    <w:unhideWhenUsed/>
    <w:rsid w:val="009041EB"/>
    <w:rPr>
      <w:color w:val="954F72" w:themeColor="followedHyperlink"/>
      <w:u w:val="single"/>
    </w:rPr>
  </w:style>
  <w:style w:type="paragraph" w:customStyle="1" w:styleId="Default">
    <w:name w:val="Default"/>
    <w:rsid w:val="00E8754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278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841"/>
  </w:style>
  <w:style w:type="paragraph" w:styleId="Piedepgina">
    <w:name w:val="footer"/>
    <w:basedOn w:val="Normal"/>
    <w:link w:val="PiedepginaCar"/>
    <w:uiPriority w:val="99"/>
    <w:unhideWhenUsed/>
    <w:rsid w:val="009278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8974">
      <w:bodyDiv w:val="1"/>
      <w:marLeft w:val="0"/>
      <w:marRight w:val="0"/>
      <w:marTop w:val="0"/>
      <w:marBottom w:val="0"/>
      <w:divBdr>
        <w:top w:val="none" w:sz="0" w:space="0" w:color="auto"/>
        <w:left w:val="none" w:sz="0" w:space="0" w:color="auto"/>
        <w:bottom w:val="none" w:sz="0" w:space="0" w:color="auto"/>
        <w:right w:val="none" w:sz="0" w:space="0" w:color="auto"/>
      </w:divBdr>
    </w:div>
    <w:div w:id="1333799095">
      <w:bodyDiv w:val="1"/>
      <w:marLeft w:val="0"/>
      <w:marRight w:val="0"/>
      <w:marTop w:val="0"/>
      <w:marBottom w:val="0"/>
      <w:divBdr>
        <w:top w:val="none" w:sz="0" w:space="0" w:color="auto"/>
        <w:left w:val="none" w:sz="0" w:space="0" w:color="auto"/>
        <w:bottom w:val="none" w:sz="0" w:space="0" w:color="auto"/>
        <w:right w:val="none" w:sz="0" w:space="0" w:color="auto"/>
      </w:divBdr>
    </w:div>
    <w:div w:id="1714453741">
      <w:bodyDiv w:val="1"/>
      <w:marLeft w:val="0"/>
      <w:marRight w:val="0"/>
      <w:marTop w:val="0"/>
      <w:marBottom w:val="0"/>
      <w:divBdr>
        <w:top w:val="none" w:sz="0" w:space="0" w:color="auto"/>
        <w:left w:val="none" w:sz="0" w:space="0" w:color="auto"/>
        <w:bottom w:val="none" w:sz="0" w:space="0" w:color="auto"/>
        <w:right w:val="none" w:sz="0" w:space="0" w:color="auto"/>
      </w:divBdr>
    </w:div>
    <w:div w:id="1793134463">
      <w:bodyDiv w:val="1"/>
      <w:marLeft w:val="0"/>
      <w:marRight w:val="0"/>
      <w:marTop w:val="0"/>
      <w:marBottom w:val="0"/>
      <w:divBdr>
        <w:top w:val="none" w:sz="0" w:space="0" w:color="auto"/>
        <w:left w:val="none" w:sz="0" w:space="0" w:color="auto"/>
        <w:bottom w:val="none" w:sz="0" w:space="0" w:color="auto"/>
        <w:right w:val="none" w:sz="0" w:space="0" w:color="auto"/>
      </w:divBdr>
    </w:div>
    <w:div w:id="19452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Trabajadores/CotizacionRecaudacionTrabajadores/1327/13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seg-social.gob.es/wps/portal/sede/sede/Inicio/detalle/!ut/p/z1/pZRrb9owFIZ_TT4aH1-S2PsWug5KoaijGSRfkEkcyJZbk5S0-_UzbaWWXUInLNnSsez3vHqOj3GIVzgs1D7dqjYtC5WZOAidNSMOJxLIdESGHDwyv3Po-JLACPDy-QD8Y3iAw_7733CIw6hoq3aHg0bHeh2VRauLNC4bCw4bFui8qnWjTFzrSD3EKjLmLKBACZGH-1WUxjggPKbuRgCiJBKI2zZFisUCRZKzmMUb12bi1e-bIbi6BM-fXfuS3TKQJ_0uD_lOKDwf6EPSr0DwBIfbrNy88PeKDRNbHNY60bWuBw-12d61bfXJAgu6rhs0eouaMkpVNtAGUleZpSrrVmUmaEyQGqJ1oVsLrorUwPub7K5sWrz6Qw4vzAwMNPed4Wt_aAx_mUvuuxSA4OU-1R32i7LOjenFW01sHnEzKIqBKMQZd5BMJEHalYxzJWmiOR7DqQzszAwv8vZcAJkAnYIzE-DJ24U_vSEMXPdM-UlfQUeefeBN69nFzPCuVLtDaZGYIrx7zXgF_CjEQfr9_j70THMc-uHR1Ob_uuNY73e-x-9a9AD4UFf18h31le9D8pNTXXk-rtfPpMr9XLAn9OOreGLZfrfN15-HNyiY7H9Ox9k-v9iI7i7Jl78Aom7FcQ!!/dz/d5/L2dBISEvZ0FBIS9nQSE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de.seg-social.gob.es/wps/portal/sede/sede/Inicio/detalle/!ut/p/z1/rVTbcpswEP2VvvhR1gphW-obTlM7jh1P6lAbXjxcBFYLiIAKSb--IumMe3Fwpikz0szurM6eOWcX7OMd9ougkWmgpSqCzMSeP95TMrYJB7KckakNDlnfja35JYEZ4O1TAbzwOYD9_vefsY_9qNClPmCvFrHYR6rQopCxqgfQJQYg8rISdWBipStVvysrFYlY5lIUuqvSaV3vyd6yOqwykjH2gsS2RwISxENOkQ2cIy4gRhQmtg1BDNGI_eR-JAdXl-C4q2uX01sK_Cz3bdfvDMJTQZ88_QgEL7CfZip89sIpQspS7FciEZWoht8qkz5oXb4fwADath3WIkW1imSQDYWRpi3NVapKB5kJahNIo25VCD2Aq0JGUp2CPaha491fcHhjjmdEm_xC-NqdGsIf19x2JxYAwdtGiha7hapyQ3pz9MQKkyCxkglKSEKQTblAzCYUhcAtasec8ZjiOZzrQN_Y4Rl-tGZAFmAtYbxi4PDbjbu8IWY8Jm-EX_QZOnNGnd5WtbpYGb3LQB-QLBJjwqnJxjtgp_PYk1_u733HrE63LQ_GrX_cnRc6_OnB77PPekR61eb1ejDrs_hV8Itzm_sfBTz-fMrczRl9RF8_sUeaNYc033-Y3iBv0XxfzrMmvwhZe5fk2x-cGRiU/dz/d5/L2dBISEvZ0FBIS9nQSEh/" TargetMode="External"/><Relationship Id="rId4" Type="http://schemas.openxmlformats.org/officeDocument/2006/relationships/webSettings" Target="webSettings.xml"/><Relationship Id="rId9" Type="http://schemas.openxmlformats.org/officeDocument/2006/relationships/hyperlink" Target="http://www.seg-social.es/wps/portal/wss/internet/Trabajadores/CotizacionRecaudacionTrabajadores/1327/13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Borso</dc:creator>
  <cp:keywords/>
  <dc:description/>
  <cp:lastModifiedBy>Vicky Santos</cp:lastModifiedBy>
  <cp:revision>2</cp:revision>
  <cp:lastPrinted>2020-03-24T19:43:00Z</cp:lastPrinted>
  <dcterms:created xsi:type="dcterms:W3CDTF">2020-04-08T11:49:00Z</dcterms:created>
  <dcterms:modified xsi:type="dcterms:W3CDTF">2020-04-08T11:49:00Z</dcterms:modified>
</cp:coreProperties>
</file>