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24" w:rsidRDefault="00517324" w:rsidP="00517324">
      <w:pPr>
        <w:pStyle w:val="NormalWeb"/>
        <w:spacing w:line="360" w:lineRule="auto"/>
        <w:jc w:val="both"/>
      </w:pPr>
      <w:r w:rsidRPr="00517324">
        <w:rPr>
          <w:b/>
        </w:rPr>
        <w:t>16.04.20</w:t>
      </w:r>
      <w:r w:rsidRPr="00517324">
        <w:rPr>
          <w:b/>
        </w:rPr>
        <w:br/>
      </w:r>
      <w:bookmarkStart w:id="0" w:name="_GoBack"/>
      <w:r>
        <w:rPr>
          <w:rStyle w:val="Textoennegrita"/>
        </w:rPr>
        <w:t>AEAT - AVISO IMPORTANTE - Ampliación del plazo para la presentación e ingreso de determinadas declaraciones y autoliquidaciones</w:t>
      </w:r>
      <w:bookmarkEnd w:id="0"/>
    </w:p>
    <w:p w:rsidR="00517324" w:rsidRDefault="00517324" w:rsidP="00517324">
      <w:pPr>
        <w:pStyle w:val="NormalWeb"/>
        <w:spacing w:line="360" w:lineRule="auto"/>
        <w:jc w:val="both"/>
      </w:pPr>
      <w:hyperlink r:id="rId7" w:tgtFrame="_blank" w:history="1">
        <w:r>
          <w:rPr>
            <w:rStyle w:val="Hipervnculo"/>
          </w:rPr>
          <w:t>https://www.agenciatributaria.es/AEAT.internet/Inicio/_componentes_/_Le_interesa_conocer/Historico/2020/Ampliacion_del_plazo_para_la_presentacion_e_ingreso_de_determinadas_declaraciones_y_autoliquidaciones.shtml</w:t>
        </w:r>
      </w:hyperlink>
    </w:p>
    <w:p w:rsidR="00517324" w:rsidRDefault="00517324" w:rsidP="00517324">
      <w:pPr>
        <w:pStyle w:val="NormalWeb"/>
        <w:spacing w:line="360" w:lineRule="auto"/>
        <w:jc w:val="both"/>
      </w:pPr>
      <w:r>
        <w:t xml:space="preserve">De acuerdo con el Real Decreto-ley 14/2020, de 14 de abril, por el que se extiende el plazo para la presentación e ingreso de determinadas declaraciones y autoliquidaciones tributarias, </w:t>
      </w:r>
      <w:r>
        <w:rPr>
          <w:rStyle w:val="Textoennegrita"/>
        </w:rPr>
        <w:t xml:space="preserve">se amplían hasta el 20 de mayo los plazos de presentación e ingreso de las declaraciones y autoliquidaciones tributarias cuyo vencimiento se produzca a partir del día 15 de abril </w:t>
      </w:r>
      <w:r>
        <w:rPr>
          <w:rStyle w:val="Textoennegrita"/>
          <w:color w:val="E03E2D"/>
        </w:rPr>
        <w:t>(1)</w:t>
      </w:r>
      <w:r>
        <w:rPr>
          <w:rStyle w:val="Textoennegrita"/>
        </w:rPr>
        <w:t xml:space="preserve"> y hasta el día 20 de mayo de 2020 para los siguientes obligados tributarios</w:t>
      </w:r>
      <w:r>
        <w:t>:</w:t>
      </w:r>
    </w:p>
    <w:p w:rsidR="00517324" w:rsidRDefault="00517324" w:rsidP="00517324">
      <w:pPr>
        <w:pStyle w:val="NormalWeb"/>
        <w:spacing w:line="360" w:lineRule="auto"/>
        <w:jc w:val="both"/>
      </w:pPr>
      <w:r>
        <w:t>--Obligados con volumen de operaciones no superior a 600.000 euros en el año 2019. A estos efectos, el volumen de operaciones será el previsto en el artículo 121 de la Ley del IVA, y en su defecto cuando no exista obligación de presentar declaraciones relativas al IVA (por ejemplo en el caso de operaciones exclusivamente exentas previsto en el tercer párrafo del artículo 71.1 del RIVA o en el caso de régimen especial del recargo de equivalencia), el Importe Neto de la Cifra de Negocios del Impuesto sobre Sociedades o el equivalente en el caso del Impuesto sobre la Renta de Personas Físicas.</w:t>
      </w:r>
    </w:p>
    <w:p w:rsidR="00517324" w:rsidRDefault="00517324" w:rsidP="00517324">
      <w:pPr>
        <w:pStyle w:val="NormalWeb"/>
        <w:spacing w:line="360" w:lineRule="auto"/>
        <w:jc w:val="both"/>
      </w:pPr>
      <w:r>
        <w:t>--En el caso de los obligados que tengan la consideración de Administraciones públicas, incluida la Seguridad Social, será requisito necesario que su último Presupuesto anual aprobado no supere la cantidad de 600.000 euros.</w:t>
      </w:r>
    </w:p>
    <w:p w:rsidR="00517324" w:rsidRDefault="00517324" w:rsidP="00517324">
      <w:pPr>
        <w:pStyle w:val="NormalWeb"/>
        <w:spacing w:line="360" w:lineRule="auto"/>
        <w:jc w:val="both"/>
      </w:pPr>
      <w:r>
        <w:t> En estos casos, la domiciliación bancaria podrá realizarse hasta el 15 de mayo de 2020, inclusive. El cargo en cuenta se efectuará el 20 de mayo de 2020. </w:t>
      </w:r>
    </w:p>
    <w:p w:rsidR="00517324" w:rsidRDefault="00517324" w:rsidP="00517324">
      <w:pPr>
        <w:pStyle w:val="NormalWeb"/>
        <w:spacing w:line="360" w:lineRule="auto"/>
        <w:jc w:val="both"/>
      </w:pPr>
      <w:r>
        <w:t>Respecto a las domiciliaciones que se hayan efectuado hasta el 15 de abril de 2020, el cargo en cuenta se realizará el 20 de mayo de 2020.</w:t>
      </w:r>
    </w:p>
    <w:p w:rsidR="00517324" w:rsidRDefault="00517324" w:rsidP="00517324">
      <w:pPr>
        <w:pStyle w:val="NormalWeb"/>
        <w:spacing w:line="360" w:lineRule="auto"/>
        <w:jc w:val="both"/>
      </w:pPr>
      <w:r>
        <w:t xml:space="preserve">La ampliación de los plazos de presentación e ingreso </w:t>
      </w:r>
      <w:r>
        <w:rPr>
          <w:rStyle w:val="Textoennegrita"/>
        </w:rPr>
        <w:t>no resultará de aplicación</w:t>
      </w:r>
      <w:r>
        <w:t>:</w:t>
      </w:r>
    </w:p>
    <w:p w:rsidR="00517324" w:rsidRDefault="00517324" w:rsidP="00517324">
      <w:pPr>
        <w:pStyle w:val="NormalWeb"/>
        <w:spacing w:line="360" w:lineRule="auto"/>
        <w:jc w:val="both"/>
      </w:pPr>
      <w:r>
        <w:lastRenderedPageBreak/>
        <w:br/>
        <w:t>--A los grupos fiscales que apliquen el régimen especial de consolidación fiscal regulado en el Capítulo VI del Título VII de la Ley 27/2014, de 27 de noviembre, del Impuesto sobre Sociedades, con independencia de su importe neto de la cifra de negocios, ni a los grupos de entidades que tributen en el régimen especial de grupos de entidades del Impuesto sobre el Valor Añadido regulado en el Capítulo IX del Título IX de la Ley 37/1992, de 28 de diciembre, del Impuesto sobre el Valor Añadido, con independencia de su volumen de operaciones.</w:t>
      </w:r>
    </w:p>
    <w:p w:rsidR="00517324" w:rsidRDefault="00517324" w:rsidP="00517324">
      <w:pPr>
        <w:pStyle w:val="NormalWeb"/>
        <w:spacing w:line="360" w:lineRule="auto"/>
        <w:jc w:val="both"/>
      </w:pPr>
      <w:r>
        <w:t>--A la presentación de declaraciones reguladas por el Reglamento (UE) nº 952/2013 del Parlamento Europeo y del Consejo, de 9 de octubre de 2013, por el que se aprueba el código aduanero de la Unión y o por su normativa de desarrollo.</w:t>
      </w:r>
    </w:p>
    <w:p w:rsidR="00517324" w:rsidRDefault="00517324" w:rsidP="00517324">
      <w:pPr>
        <w:pStyle w:val="NormalWeb"/>
        <w:spacing w:line="360" w:lineRule="auto"/>
        <w:jc w:val="both"/>
      </w:pPr>
      <w:r>
        <w:t>----------------------------------------------------------------------------------------------------------</w:t>
      </w:r>
      <w:r>
        <w:br/>
      </w:r>
      <w:r>
        <w:rPr>
          <w:color w:val="E03E2D"/>
        </w:rPr>
        <w:t>(1)</w:t>
      </w:r>
      <w:r>
        <w:t xml:space="preserve"> Fecha de entrada en vigor del RDley 14/2020, de 14 de abril, por el que se extiende el plazo para la presentación e ingreso de determinadas declaraciones y autoliquidaciones tributarias. </w:t>
      </w:r>
    </w:p>
    <w:p w:rsidR="00517324" w:rsidRDefault="00517324" w:rsidP="00517324">
      <w:pPr>
        <w:pStyle w:val="NormalWeb"/>
        <w:spacing w:line="360" w:lineRule="auto"/>
        <w:jc w:val="both"/>
      </w:pPr>
      <w:hyperlink r:id="rId8" w:tgtFrame="_blank" w:history="1">
        <w:r>
          <w:rPr>
            <w:rStyle w:val="Hipervnculo"/>
          </w:rPr>
          <w:t>Real Decreto-ley 14/2020, de 14 de abril,por el que se extiende el plazo para la presentación e ingreso de determinadas declaraciones y autoliquidaciones tributarias.</w:t>
        </w:r>
      </w:hyperlink>
    </w:p>
    <w:p w:rsidR="00517324" w:rsidRDefault="00517324" w:rsidP="00517324">
      <w:pPr>
        <w:pStyle w:val="NormalWeb"/>
        <w:spacing w:line="360" w:lineRule="auto"/>
      </w:pPr>
      <w:r>
        <w:t> Un saludo, </w:t>
      </w:r>
      <w:r>
        <w:br/>
        <w:t>Coordinación Delegación Especial AEAT Valencia</w:t>
      </w:r>
    </w:p>
    <w:p w:rsidR="005048B7" w:rsidRDefault="005048B7" w:rsidP="00517324">
      <w:pPr>
        <w:spacing w:line="360" w:lineRule="auto"/>
        <w:jc w:val="both"/>
        <w:rPr>
          <w:color w:val="1F497D"/>
        </w:rPr>
      </w:pPr>
    </w:p>
    <w:sectPr w:rsidR="005048B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12D" w:rsidRDefault="0069112D" w:rsidP="00927841">
      <w:pPr>
        <w:spacing w:after="0" w:line="240" w:lineRule="auto"/>
      </w:pPr>
      <w:r>
        <w:separator/>
      </w:r>
    </w:p>
  </w:endnote>
  <w:endnote w:type="continuationSeparator" w:id="0">
    <w:p w:rsidR="0069112D" w:rsidRDefault="0069112D" w:rsidP="009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34273"/>
      <w:docPartObj>
        <w:docPartGallery w:val="Page Numbers (Bottom of Page)"/>
        <w:docPartUnique/>
      </w:docPartObj>
    </w:sdtPr>
    <w:sdtEndPr/>
    <w:sdtContent>
      <w:p w:rsidR="00927841" w:rsidRDefault="00927841">
        <w:pPr>
          <w:pStyle w:val="Piedepgina"/>
          <w:jc w:val="center"/>
        </w:pPr>
        <w:r>
          <w:fldChar w:fldCharType="begin"/>
        </w:r>
        <w:r>
          <w:instrText>PAGE   \* MERGEFORMAT</w:instrText>
        </w:r>
        <w:r>
          <w:fldChar w:fldCharType="separate"/>
        </w:r>
        <w:r w:rsidR="00517324">
          <w:rPr>
            <w:noProof/>
          </w:rPr>
          <w:t>1</w:t>
        </w:r>
        <w:r>
          <w:fldChar w:fldCharType="end"/>
        </w:r>
      </w:p>
    </w:sdtContent>
  </w:sdt>
  <w:p w:rsidR="00927841" w:rsidRDefault="00927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12D" w:rsidRDefault="0069112D" w:rsidP="00927841">
      <w:pPr>
        <w:spacing w:after="0" w:line="240" w:lineRule="auto"/>
      </w:pPr>
      <w:r>
        <w:separator/>
      </w:r>
    </w:p>
  </w:footnote>
  <w:footnote w:type="continuationSeparator" w:id="0">
    <w:p w:rsidR="0069112D" w:rsidRDefault="0069112D" w:rsidP="0092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2D3"/>
    <w:multiLevelType w:val="hybridMultilevel"/>
    <w:tmpl w:val="9CCE0574"/>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61F7B8F"/>
    <w:multiLevelType w:val="hybridMultilevel"/>
    <w:tmpl w:val="CDD03CA8"/>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EE00BF"/>
    <w:multiLevelType w:val="hybridMultilevel"/>
    <w:tmpl w:val="9B9EA14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80B3C8C"/>
    <w:multiLevelType w:val="hybridMultilevel"/>
    <w:tmpl w:val="24D8EC94"/>
    <w:lvl w:ilvl="0" w:tplc="0C0A0003">
      <w:start w:val="1"/>
      <w:numFmt w:val="bullet"/>
      <w:lvlText w:val="o"/>
      <w:lvlJc w:val="left"/>
      <w:pPr>
        <w:ind w:left="1713" w:hanging="360"/>
      </w:pPr>
      <w:rPr>
        <w:rFonts w:ascii="Courier New" w:hAnsi="Courier New" w:cs="Courier New" w:hint="default"/>
      </w:rPr>
    </w:lvl>
    <w:lvl w:ilvl="1" w:tplc="91D641CA">
      <w:start w:val="1"/>
      <w:numFmt w:val="lowerRoman"/>
      <w:lvlText w:val="%2."/>
      <w:lvlJc w:val="left"/>
      <w:pPr>
        <w:ind w:left="2433" w:hanging="360"/>
      </w:pPr>
      <w:rPr>
        <w:rFont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D5C2BFB"/>
    <w:multiLevelType w:val="hybridMultilevel"/>
    <w:tmpl w:val="CDACE3FE"/>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F01401B"/>
    <w:multiLevelType w:val="hybridMultilevel"/>
    <w:tmpl w:val="0DEED4C8"/>
    <w:lvl w:ilvl="0" w:tplc="170CA9F2">
      <w:start w:val="1"/>
      <w:numFmt w:val="decimal"/>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0F1C4F92"/>
    <w:multiLevelType w:val="hybridMultilevel"/>
    <w:tmpl w:val="A60EE4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0E01921"/>
    <w:multiLevelType w:val="hybridMultilevel"/>
    <w:tmpl w:val="9F586810"/>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BF1FB5"/>
    <w:multiLevelType w:val="hybridMultilevel"/>
    <w:tmpl w:val="59F68D0C"/>
    <w:lvl w:ilvl="0" w:tplc="0C0A000F">
      <w:start w:val="1"/>
      <w:numFmt w:val="decimal"/>
      <w:lvlText w:val="%1."/>
      <w:lvlJc w:val="left"/>
      <w:pPr>
        <w:ind w:left="360" w:hanging="360"/>
      </w:pPr>
    </w:lvl>
    <w:lvl w:ilvl="1" w:tplc="71AEC254">
      <w:numFmt w:val="bullet"/>
      <w:lvlText w:val=""/>
      <w:lvlJc w:val="left"/>
      <w:pPr>
        <w:ind w:left="1080" w:hanging="360"/>
      </w:pPr>
      <w:rPr>
        <w:rFonts w:ascii="Symbol" w:eastAsiaTheme="minorHAnsi" w:hAnsi="Symbol" w:cstheme="minorHAns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8B072A"/>
    <w:multiLevelType w:val="hybridMultilevel"/>
    <w:tmpl w:val="F11AF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6FC094"/>
    <w:multiLevelType w:val="hybridMultilevel"/>
    <w:tmpl w:val="E2104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3F74CA"/>
    <w:multiLevelType w:val="hybridMultilevel"/>
    <w:tmpl w:val="95FC50A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9706A2"/>
    <w:multiLevelType w:val="hybridMultilevel"/>
    <w:tmpl w:val="B4B8A1F2"/>
    <w:lvl w:ilvl="0" w:tplc="0C0A0001">
      <w:start w:val="1"/>
      <w:numFmt w:val="bullet"/>
      <w:lvlText w:val=""/>
      <w:lvlJc w:val="left"/>
      <w:pPr>
        <w:ind w:left="1068" w:hanging="360"/>
      </w:pPr>
      <w:rPr>
        <w:rFonts w:ascii="Symbol" w:hAnsi="Symbol" w:hint="default"/>
      </w:rPr>
    </w:lvl>
    <w:lvl w:ilvl="1" w:tplc="91D641CA">
      <w:start w:val="1"/>
      <w:numFmt w:val="lowerRoman"/>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4F32472"/>
    <w:multiLevelType w:val="hybridMultilevel"/>
    <w:tmpl w:val="E4B462A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5C0524"/>
    <w:multiLevelType w:val="hybridMultilevel"/>
    <w:tmpl w:val="D6E6E6F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5" w15:restartNumberingAfterBreak="0">
    <w:nsid w:val="25920394"/>
    <w:multiLevelType w:val="hybridMultilevel"/>
    <w:tmpl w:val="ED9ACE58"/>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A10FDD"/>
    <w:multiLevelType w:val="hybridMultilevel"/>
    <w:tmpl w:val="9DBCA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6B4DE8"/>
    <w:multiLevelType w:val="hybridMultilevel"/>
    <w:tmpl w:val="E3D895D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CBD7D0D"/>
    <w:multiLevelType w:val="hybridMultilevel"/>
    <w:tmpl w:val="7A382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2A7116"/>
    <w:multiLevelType w:val="hybridMultilevel"/>
    <w:tmpl w:val="55FE768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E8301B3"/>
    <w:multiLevelType w:val="hybridMultilevel"/>
    <w:tmpl w:val="9C26F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BD085E"/>
    <w:multiLevelType w:val="hybridMultilevel"/>
    <w:tmpl w:val="84005304"/>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0C36DD0"/>
    <w:multiLevelType w:val="hybridMultilevel"/>
    <w:tmpl w:val="31A285F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3AC01FF6"/>
    <w:multiLevelType w:val="hybridMultilevel"/>
    <w:tmpl w:val="9798268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3C5E30FE"/>
    <w:multiLevelType w:val="hybridMultilevel"/>
    <w:tmpl w:val="8940F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3DC74CF7"/>
    <w:multiLevelType w:val="hybridMultilevel"/>
    <w:tmpl w:val="C9FEA15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22C5C"/>
    <w:multiLevelType w:val="hybridMultilevel"/>
    <w:tmpl w:val="DF46019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7" w15:restartNumberingAfterBreak="0">
    <w:nsid w:val="43387894"/>
    <w:multiLevelType w:val="hybridMultilevel"/>
    <w:tmpl w:val="0142A3A6"/>
    <w:lvl w:ilvl="0" w:tplc="A5F2D814">
      <w:start w:val="2"/>
      <w:numFmt w:val="bullet"/>
      <w:lvlText w:val="-"/>
      <w:lvlJc w:val="left"/>
      <w:pPr>
        <w:ind w:left="1211" w:hanging="360"/>
      </w:pPr>
      <w:rPr>
        <w:rFonts w:ascii="Calibri" w:eastAsiaTheme="minorHAns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8" w15:restartNumberingAfterBreak="0">
    <w:nsid w:val="4BFC48AB"/>
    <w:multiLevelType w:val="hybridMultilevel"/>
    <w:tmpl w:val="5D5CFB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EC80A65"/>
    <w:multiLevelType w:val="hybridMultilevel"/>
    <w:tmpl w:val="F86CF66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51834AEA"/>
    <w:multiLevelType w:val="hybridMultilevel"/>
    <w:tmpl w:val="72A81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FB5868"/>
    <w:multiLevelType w:val="hybridMultilevel"/>
    <w:tmpl w:val="B156BFCE"/>
    <w:lvl w:ilvl="0" w:tplc="E0606D48">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286F2B"/>
    <w:multiLevelType w:val="hybridMultilevel"/>
    <w:tmpl w:val="202A6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EE3E3E"/>
    <w:multiLevelType w:val="hybridMultilevel"/>
    <w:tmpl w:val="39A6E5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5CDB1645"/>
    <w:multiLevelType w:val="hybridMultilevel"/>
    <w:tmpl w:val="168EC302"/>
    <w:lvl w:ilvl="0" w:tplc="C7D014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186592"/>
    <w:multiLevelType w:val="hybridMultilevel"/>
    <w:tmpl w:val="CB52B4A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5245045"/>
    <w:multiLevelType w:val="hybridMultilevel"/>
    <w:tmpl w:val="B308E594"/>
    <w:lvl w:ilvl="0" w:tplc="0C0A0001">
      <w:start w:val="1"/>
      <w:numFmt w:val="bullet"/>
      <w:lvlText w:val=""/>
      <w:lvlJc w:val="left"/>
      <w:pPr>
        <w:ind w:left="360" w:hanging="360"/>
      </w:pPr>
      <w:rPr>
        <w:rFonts w:ascii="Symbol" w:hAnsi="Symbol"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64B1B01"/>
    <w:multiLevelType w:val="hybridMultilevel"/>
    <w:tmpl w:val="438CAC8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816553F"/>
    <w:multiLevelType w:val="hybridMultilevel"/>
    <w:tmpl w:val="3E48B5D0"/>
    <w:lvl w:ilvl="0" w:tplc="C7D014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92681D"/>
    <w:multiLevelType w:val="hybridMultilevel"/>
    <w:tmpl w:val="9B56C5BE"/>
    <w:lvl w:ilvl="0" w:tplc="BC6E3ADC">
      <w:start w:val="1"/>
      <w:numFmt w:val="lowerLetter"/>
      <w:lvlText w:val="%1."/>
      <w:lvlJc w:val="left"/>
      <w:pPr>
        <w:ind w:left="720" w:hanging="360"/>
      </w:pPr>
      <w:rPr>
        <w:rFonts w:hint="default"/>
        <w:b/>
        <w:bCs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965B26"/>
    <w:multiLevelType w:val="hybridMultilevel"/>
    <w:tmpl w:val="38C4063A"/>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98555F"/>
    <w:multiLevelType w:val="hybridMultilevel"/>
    <w:tmpl w:val="F7C61DD6"/>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2" w15:restartNumberingAfterBreak="0">
    <w:nsid w:val="74B52164"/>
    <w:multiLevelType w:val="hybridMultilevel"/>
    <w:tmpl w:val="7A4C226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3" w15:restartNumberingAfterBreak="0">
    <w:nsid w:val="751F71F6"/>
    <w:multiLevelType w:val="hybridMultilevel"/>
    <w:tmpl w:val="50A65624"/>
    <w:lvl w:ilvl="0" w:tplc="0C0A0001">
      <w:start w:val="1"/>
      <w:numFmt w:val="bullet"/>
      <w:lvlText w:val=""/>
      <w:lvlJc w:val="left"/>
      <w:pPr>
        <w:ind w:left="1068" w:hanging="360"/>
      </w:pPr>
      <w:rPr>
        <w:rFonts w:ascii="Symbol" w:hAnsi="Symbol" w:hint="default"/>
      </w:rPr>
    </w:lvl>
    <w:lvl w:ilvl="1" w:tplc="91D641CA">
      <w:start w:val="1"/>
      <w:numFmt w:val="lowerRoman"/>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96F6F77"/>
    <w:multiLevelType w:val="hybridMultilevel"/>
    <w:tmpl w:val="06621E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A4A315A"/>
    <w:multiLevelType w:val="hybridMultilevel"/>
    <w:tmpl w:val="1EF2934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1"/>
  </w:num>
  <w:num w:numId="2">
    <w:abstractNumId w:val="8"/>
  </w:num>
  <w:num w:numId="3">
    <w:abstractNumId w:val="32"/>
  </w:num>
  <w:num w:numId="4">
    <w:abstractNumId w:val="31"/>
  </w:num>
  <w:num w:numId="5">
    <w:abstractNumId w:val="20"/>
  </w:num>
  <w:num w:numId="6">
    <w:abstractNumId w:val="18"/>
  </w:num>
  <w:num w:numId="7">
    <w:abstractNumId w:val="12"/>
  </w:num>
  <w:num w:numId="8">
    <w:abstractNumId w:val="27"/>
  </w:num>
  <w:num w:numId="9">
    <w:abstractNumId w:val="22"/>
  </w:num>
  <w:num w:numId="10">
    <w:abstractNumId w:val="30"/>
  </w:num>
  <w:num w:numId="11">
    <w:abstractNumId w:val="40"/>
  </w:num>
  <w:num w:numId="12">
    <w:abstractNumId w:val="1"/>
  </w:num>
  <w:num w:numId="13">
    <w:abstractNumId w:val="7"/>
  </w:num>
  <w:num w:numId="14">
    <w:abstractNumId w:val="34"/>
  </w:num>
  <w:num w:numId="15">
    <w:abstractNumId w:val="38"/>
  </w:num>
  <w:num w:numId="16">
    <w:abstractNumId w:val="36"/>
  </w:num>
  <w:num w:numId="17">
    <w:abstractNumId w:val="39"/>
  </w:num>
  <w:num w:numId="18">
    <w:abstractNumId w:val="35"/>
  </w:num>
  <w:num w:numId="19">
    <w:abstractNumId w:val="37"/>
  </w:num>
  <w:num w:numId="20">
    <w:abstractNumId w:val="17"/>
  </w:num>
  <w:num w:numId="21">
    <w:abstractNumId w:val="33"/>
  </w:num>
  <w:num w:numId="22">
    <w:abstractNumId w:val="4"/>
  </w:num>
  <w:num w:numId="23">
    <w:abstractNumId w:val="19"/>
  </w:num>
  <w:num w:numId="24">
    <w:abstractNumId w:val="15"/>
  </w:num>
  <w:num w:numId="25">
    <w:abstractNumId w:val="0"/>
  </w:num>
  <w:num w:numId="26">
    <w:abstractNumId w:val="43"/>
  </w:num>
  <w:num w:numId="27">
    <w:abstractNumId w:val="21"/>
  </w:num>
  <w:num w:numId="28">
    <w:abstractNumId w:val="45"/>
  </w:num>
  <w:num w:numId="29">
    <w:abstractNumId w:val="23"/>
  </w:num>
  <w:num w:numId="30">
    <w:abstractNumId w:val="6"/>
  </w:num>
  <w:num w:numId="31">
    <w:abstractNumId w:val="13"/>
  </w:num>
  <w:num w:numId="32">
    <w:abstractNumId w:val="11"/>
  </w:num>
  <w:num w:numId="33">
    <w:abstractNumId w:val="3"/>
  </w:num>
  <w:num w:numId="34">
    <w:abstractNumId w:val="2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6"/>
  </w:num>
  <w:num w:numId="39">
    <w:abstractNumId w:val="42"/>
  </w:num>
  <w:num w:numId="40">
    <w:abstractNumId w:val="2"/>
  </w:num>
  <w:num w:numId="41">
    <w:abstractNumId w:val="10"/>
  </w:num>
  <w:num w:numId="42">
    <w:abstractNumId w:val="5"/>
  </w:num>
  <w:num w:numId="43">
    <w:abstractNumId w:val="25"/>
  </w:num>
  <w:num w:numId="44">
    <w:abstractNumId w:val="29"/>
  </w:num>
  <w:num w:numId="45">
    <w:abstractNumId w:val="9"/>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CE"/>
    <w:rsid w:val="000B6132"/>
    <w:rsid w:val="000D0708"/>
    <w:rsid w:val="000E644D"/>
    <w:rsid w:val="000F383F"/>
    <w:rsid w:val="00131D6D"/>
    <w:rsid w:val="001C0D5D"/>
    <w:rsid w:val="0028429D"/>
    <w:rsid w:val="00397D10"/>
    <w:rsid w:val="003B111F"/>
    <w:rsid w:val="00463892"/>
    <w:rsid w:val="00491C85"/>
    <w:rsid w:val="004A2B5A"/>
    <w:rsid w:val="005048B7"/>
    <w:rsid w:val="00517324"/>
    <w:rsid w:val="00534C9D"/>
    <w:rsid w:val="0054062B"/>
    <w:rsid w:val="00605662"/>
    <w:rsid w:val="00626630"/>
    <w:rsid w:val="0069112D"/>
    <w:rsid w:val="006A75A2"/>
    <w:rsid w:val="006B0ED1"/>
    <w:rsid w:val="006F139B"/>
    <w:rsid w:val="00703C2B"/>
    <w:rsid w:val="00711F46"/>
    <w:rsid w:val="007E6180"/>
    <w:rsid w:val="0084610E"/>
    <w:rsid w:val="008A568C"/>
    <w:rsid w:val="009041EB"/>
    <w:rsid w:val="00927841"/>
    <w:rsid w:val="009C7F3B"/>
    <w:rsid w:val="00A625C3"/>
    <w:rsid w:val="00AA106D"/>
    <w:rsid w:val="00B55A56"/>
    <w:rsid w:val="00BA08BB"/>
    <w:rsid w:val="00BE04CE"/>
    <w:rsid w:val="00CB67C9"/>
    <w:rsid w:val="00CC44D6"/>
    <w:rsid w:val="00D73C82"/>
    <w:rsid w:val="00D9476D"/>
    <w:rsid w:val="00DE38EA"/>
    <w:rsid w:val="00E8754F"/>
    <w:rsid w:val="00EC621D"/>
    <w:rsid w:val="00F52986"/>
    <w:rsid w:val="00FA2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6FD07-FBF8-46DB-A1F8-FC4BB10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4CE"/>
    <w:pPr>
      <w:ind w:left="720"/>
      <w:contextualSpacing/>
    </w:pPr>
  </w:style>
  <w:style w:type="paragraph" w:styleId="Textodeglobo">
    <w:name w:val="Balloon Text"/>
    <w:basedOn w:val="Normal"/>
    <w:link w:val="TextodegloboCar"/>
    <w:uiPriority w:val="99"/>
    <w:semiHidden/>
    <w:unhideWhenUsed/>
    <w:rsid w:val="00BE04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4CE"/>
    <w:rPr>
      <w:rFonts w:ascii="Segoe UI" w:hAnsi="Segoe UI" w:cs="Segoe UI"/>
      <w:sz w:val="18"/>
      <w:szCs w:val="18"/>
    </w:rPr>
  </w:style>
  <w:style w:type="character" w:styleId="Hipervnculo">
    <w:name w:val="Hyperlink"/>
    <w:basedOn w:val="Fuentedeprrafopredeter"/>
    <w:uiPriority w:val="99"/>
    <w:unhideWhenUsed/>
    <w:rsid w:val="00BE04CE"/>
    <w:rPr>
      <w:color w:val="0563C1" w:themeColor="hyperlink"/>
      <w:u w:val="single"/>
    </w:rPr>
  </w:style>
  <w:style w:type="character" w:customStyle="1" w:styleId="UnresolvedMention">
    <w:name w:val="Unresolved Mention"/>
    <w:basedOn w:val="Fuentedeprrafopredeter"/>
    <w:uiPriority w:val="99"/>
    <w:semiHidden/>
    <w:unhideWhenUsed/>
    <w:rsid w:val="00BE04CE"/>
    <w:rPr>
      <w:color w:val="605E5C"/>
      <w:shd w:val="clear" w:color="auto" w:fill="E1DFDD"/>
    </w:rPr>
  </w:style>
  <w:style w:type="character" w:styleId="Hipervnculovisitado">
    <w:name w:val="FollowedHyperlink"/>
    <w:basedOn w:val="Fuentedeprrafopredeter"/>
    <w:uiPriority w:val="99"/>
    <w:semiHidden/>
    <w:unhideWhenUsed/>
    <w:rsid w:val="009041EB"/>
    <w:rPr>
      <w:color w:val="954F72" w:themeColor="followedHyperlink"/>
      <w:u w:val="single"/>
    </w:rPr>
  </w:style>
  <w:style w:type="paragraph" w:customStyle="1" w:styleId="Default">
    <w:name w:val="Default"/>
    <w:rsid w:val="00E8754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278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841"/>
  </w:style>
  <w:style w:type="paragraph" w:styleId="Piedepgina">
    <w:name w:val="footer"/>
    <w:basedOn w:val="Normal"/>
    <w:link w:val="PiedepginaCar"/>
    <w:uiPriority w:val="99"/>
    <w:unhideWhenUsed/>
    <w:rsid w:val="009278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841"/>
  </w:style>
  <w:style w:type="paragraph" w:styleId="NormalWeb">
    <w:name w:val="Normal (Web)"/>
    <w:basedOn w:val="Normal"/>
    <w:uiPriority w:val="99"/>
    <w:unhideWhenUsed/>
    <w:rsid w:val="00517324"/>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17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68974">
      <w:bodyDiv w:val="1"/>
      <w:marLeft w:val="0"/>
      <w:marRight w:val="0"/>
      <w:marTop w:val="0"/>
      <w:marBottom w:val="0"/>
      <w:divBdr>
        <w:top w:val="none" w:sz="0" w:space="0" w:color="auto"/>
        <w:left w:val="none" w:sz="0" w:space="0" w:color="auto"/>
        <w:bottom w:val="none" w:sz="0" w:space="0" w:color="auto"/>
        <w:right w:val="none" w:sz="0" w:space="0" w:color="auto"/>
      </w:divBdr>
    </w:div>
    <w:div w:id="920524490">
      <w:bodyDiv w:val="1"/>
      <w:marLeft w:val="0"/>
      <w:marRight w:val="0"/>
      <w:marTop w:val="0"/>
      <w:marBottom w:val="0"/>
      <w:divBdr>
        <w:top w:val="none" w:sz="0" w:space="0" w:color="auto"/>
        <w:left w:val="none" w:sz="0" w:space="0" w:color="auto"/>
        <w:bottom w:val="none" w:sz="0" w:space="0" w:color="auto"/>
        <w:right w:val="none" w:sz="0" w:space="0" w:color="auto"/>
      </w:divBdr>
    </w:div>
    <w:div w:id="1333799095">
      <w:bodyDiv w:val="1"/>
      <w:marLeft w:val="0"/>
      <w:marRight w:val="0"/>
      <w:marTop w:val="0"/>
      <w:marBottom w:val="0"/>
      <w:divBdr>
        <w:top w:val="none" w:sz="0" w:space="0" w:color="auto"/>
        <w:left w:val="none" w:sz="0" w:space="0" w:color="auto"/>
        <w:bottom w:val="none" w:sz="0" w:space="0" w:color="auto"/>
        <w:right w:val="none" w:sz="0" w:space="0" w:color="auto"/>
      </w:divBdr>
    </w:div>
    <w:div w:id="1714453741">
      <w:bodyDiv w:val="1"/>
      <w:marLeft w:val="0"/>
      <w:marRight w:val="0"/>
      <w:marTop w:val="0"/>
      <w:marBottom w:val="0"/>
      <w:divBdr>
        <w:top w:val="none" w:sz="0" w:space="0" w:color="auto"/>
        <w:left w:val="none" w:sz="0" w:space="0" w:color="auto"/>
        <w:bottom w:val="none" w:sz="0" w:space="0" w:color="auto"/>
        <w:right w:val="none" w:sz="0" w:space="0" w:color="auto"/>
      </w:divBdr>
    </w:div>
    <w:div w:id="1793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20-4448" TargetMode="External"/><Relationship Id="rId3" Type="http://schemas.openxmlformats.org/officeDocument/2006/relationships/settings" Target="settings.xml"/><Relationship Id="rId7" Type="http://schemas.openxmlformats.org/officeDocument/2006/relationships/hyperlink" Target="https://www.agenciatributaria.es/AEAT.internet/Inicio/_componentes_/_Le_interesa_conocer/Historico/2020/Ampliacion_del_plazo_para_la_presentacion_e_ingreso_de_determinadas_declaraciones_y_autoliquidacio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Borso</dc:creator>
  <cp:keywords/>
  <dc:description/>
  <cp:lastModifiedBy>Vicky Santos</cp:lastModifiedBy>
  <cp:revision>2</cp:revision>
  <cp:lastPrinted>2020-03-24T19:43:00Z</cp:lastPrinted>
  <dcterms:created xsi:type="dcterms:W3CDTF">2020-04-17T05:44:00Z</dcterms:created>
  <dcterms:modified xsi:type="dcterms:W3CDTF">2020-04-17T05:44:00Z</dcterms:modified>
</cp:coreProperties>
</file>